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保靖县环卫所</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2017年度部门整体支出绩效评价</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报   告</w:t>
      </w:r>
    </w:p>
    <w:p>
      <w:pPr>
        <w:ind w:left="0" w:leftChars="0" w:firstLine="0" w:firstLineChars="0"/>
        <w:jc w:val="center"/>
        <w:rPr>
          <w:rFonts w:hint="eastAsia" w:asciiTheme="majorEastAsia" w:hAnsiTheme="majorEastAsia" w:eastAsiaTheme="majorEastAsia" w:cstheme="majorEastAsia"/>
          <w:b/>
          <w:bCs/>
          <w:sz w:val="32"/>
          <w:szCs w:val="32"/>
          <w:lang w:val="en-US" w:eastAsia="zh-CN"/>
        </w:rPr>
      </w:pPr>
    </w:p>
    <w:p>
      <w:pPr>
        <w:ind w:firstLine="640" w:firstLineChars="200"/>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为加强保靖县镇城环境卫生管理所（以下简称本单位）部门财政资金管理，强化支出责任，建立科学、合理的财政支出绩效评价管理体系，提高本单位财政资金的使用效益，根据,《湖南省人民政府关于全面推进预算绩效管理的意见》（湘政发[2012]33号）等上级文件要求，现就本单位于2017年，对本单位的部门预算整体支出进行了绩效评价，本次评价遵循了“科学规范、公正公开、分类管理、绩效相关”的原则，运用科学、合理的绩效评价指标、评价标准和评价方法，对本单位2017年度部门整体支出的绩效情况进行了客观、公正的评价。现将情况汇报如下：</w:t>
      </w:r>
    </w:p>
    <w:p>
      <w:pPr>
        <w:numPr>
          <w:ilvl w:val="0"/>
          <w:numId w:val="1"/>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基本情况</w:t>
      </w:r>
    </w:p>
    <w:p>
      <w:pPr>
        <w:jc w:val="left"/>
        <w:rPr>
          <w:rFonts w:hint="eastAsia"/>
          <w:sz w:val="32"/>
          <w:szCs w:val="32"/>
          <w:lang w:eastAsia="zh-CN"/>
        </w:rPr>
      </w:pPr>
      <w:r>
        <w:rPr>
          <w:rFonts w:hint="eastAsia"/>
          <w:sz w:val="32"/>
          <w:szCs w:val="32"/>
        </w:rPr>
        <w:t>我单位属</w:t>
      </w:r>
      <w:r>
        <w:rPr>
          <w:rFonts w:hint="eastAsia"/>
          <w:sz w:val="32"/>
          <w:szCs w:val="32"/>
          <w:lang w:eastAsia="zh-CN"/>
        </w:rPr>
        <w:t>执法局二级机构，</w:t>
      </w:r>
      <w:r>
        <w:rPr>
          <w:rFonts w:hint="eastAsia"/>
          <w:sz w:val="32"/>
          <w:szCs w:val="32"/>
        </w:rPr>
        <w:t>财政全额拨款事业单位，执行事业财务会计制度，单位核有26个编制，实有</w:t>
      </w:r>
      <w:r>
        <w:rPr>
          <w:rFonts w:hint="eastAsia"/>
          <w:sz w:val="32"/>
          <w:szCs w:val="32"/>
          <w:lang w:val="en-US" w:eastAsia="zh-CN"/>
        </w:rPr>
        <w:t>29</w:t>
      </w:r>
      <w:r>
        <w:rPr>
          <w:rFonts w:hint="eastAsia"/>
          <w:sz w:val="32"/>
          <w:szCs w:val="32"/>
        </w:rPr>
        <w:t>人，</w:t>
      </w:r>
      <w:r>
        <w:rPr>
          <w:rFonts w:hint="eastAsia"/>
          <w:sz w:val="32"/>
          <w:szCs w:val="32"/>
          <w:lang w:eastAsia="zh-CN"/>
        </w:rPr>
        <w:t>临时聘请人员</w:t>
      </w:r>
      <w:r>
        <w:rPr>
          <w:rFonts w:hint="eastAsia"/>
          <w:sz w:val="32"/>
          <w:szCs w:val="32"/>
          <w:lang w:val="en-US" w:eastAsia="zh-CN"/>
        </w:rPr>
        <w:t>221人，</w:t>
      </w:r>
      <w:r>
        <w:rPr>
          <w:rFonts w:hint="eastAsia"/>
          <w:sz w:val="32"/>
          <w:szCs w:val="32"/>
          <w:lang w:eastAsia="zh-CN"/>
        </w:rPr>
        <w:t>主要职能是清扫、清运保靖县城生活垃圾和建筑垃圾管理。</w:t>
      </w:r>
      <w:bookmarkStart w:id="0" w:name="_GoBack"/>
      <w:bookmarkEnd w:id="0"/>
    </w:p>
    <w:p>
      <w:pPr>
        <w:numPr>
          <w:ilvl w:val="0"/>
          <w:numId w:val="1"/>
        </w:numPr>
        <w:jc w:val="left"/>
        <w:rPr>
          <w:rFonts w:hint="eastAsia"/>
          <w:sz w:val="32"/>
          <w:szCs w:val="32"/>
          <w:lang w:eastAsia="zh-CN"/>
        </w:rPr>
      </w:pPr>
      <w:r>
        <w:rPr>
          <w:rFonts w:hint="eastAsia"/>
          <w:sz w:val="32"/>
          <w:szCs w:val="32"/>
          <w:lang w:eastAsia="zh-CN"/>
        </w:rPr>
        <w:t>部门支出情</w:t>
      </w:r>
    </w:p>
    <w:p>
      <w:pPr>
        <w:numPr>
          <w:ilvl w:val="0"/>
          <w:numId w:val="0"/>
        </w:numPr>
        <w:jc w:val="left"/>
        <w:rPr>
          <w:rFonts w:hint="eastAsia"/>
          <w:sz w:val="32"/>
          <w:szCs w:val="32"/>
          <w:lang w:val="en-US" w:eastAsia="zh-CN"/>
        </w:rPr>
      </w:pPr>
      <w:r>
        <w:rPr>
          <w:rFonts w:hint="eastAsia"/>
          <w:sz w:val="32"/>
          <w:szCs w:val="32"/>
          <w:lang w:eastAsia="zh-CN"/>
        </w:rPr>
        <w:t>本单位</w:t>
      </w:r>
      <w:r>
        <w:rPr>
          <w:rFonts w:hint="eastAsia"/>
          <w:sz w:val="32"/>
          <w:szCs w:val="32"/>
          <w:lang w:val="en-US" w:eastAsia="zh-CN"/>
        </w:rPr>
        <w:t>2017年收入总计1079.52万元，年初结转和结余122.82万元，全年总支出1076.45万元，其中人员经费支出753.35万元、日常公用经费33.84万元、项目支出289.36万元，年末结转和结余125.88万元。</w:t>
      </w:r>
    </w:p>
    <w:p>
      <w:pPr>
        <w:numPr>
          <w:ilvl w:val="0"/>
          <w:numId w:val="1"/>
        </w:numPr>
        <w:jc w:val="left"/>
        <w:rPr>
          <w:rFonts w:hint="eastAsia"/>
          <w:sz w:val="32"/>
          <w:szCs w:val="32"/>
          <w:lang w:val="en-US" w:eastAsia="zh-CN"/>
        </w:rPr>
      </w:pPr>
      <w:r>
        <w:rPr>
          <w:rFonts w:hint="eastAsia"/>
          <w:sz w:val="32"/>
          <w:szCs w:val="32"/>
          <w:lang w:val="en-US" w:eastAsia="zh-CN"/>
        </w:rPr>
        <w:t>绩效评价</w:t>
      </w:r>
    </w:p>
    <w:p>
      <w:pPr>
        <w:numPr>
          <w:ilvl w:val="0"/>
          <w:numId w:val="2"/>
        </w:numPr>
        <w:jc w:val="left"/>
        <w:rPr>
          <w:rFonts w:hint="eastAsia"/>
          <w:sz w:val="32"/>
          <w:szCs w:val="32"/>
          <w:lang w:val="en-US" w:eastAsia="zh-CN"/>
        </w:rPr>
      </w:pPr>
      <w:r>
        <w:rPr>
          <w:rFonts w:hint="eastAsia"/>
          <w:sz w:val="32"/>
          <w:szCs w:val="32"/>
          <w:lang w:val="en-US" w:eastAsia="zh-CN"/>
        </w:rPr>
        <w:t>绩效评价目的</w:t>
      </w:r>
    </w:p>
    <w:p>
      <w:pPr>
        <w:numPr>
          <w:ilvl w:val="0"/>
          <w:numId w:val="0"/>
        </w:numPr>
        <w:jc w:val="left"/>
        <w:rPr>
          <w:rFonts w:hint="eastAsia"/>
          <w:sz w:val="32"/>
          <w:szCs w:val="32"/>
          <w:lang w:val="en-US" w:eastAsia="zh-CN"/>
        </w:rPr>
      </w:pPr>
      <w:r>
        <w:rPr>
          <w:rFonts w:hint="eastAsia"/>
          <w:sz w:val="32"/>
          <w:szCs w:val="32"/>
          <w:lang w:val="en-US" w:eastAsia="zh-CN"/>
        </w:rPr>
        <w:t>本次自评的目的是为规范财政资金管理，通过评价本单位2017年度财政资金预算支出的绩效状况，为今后预算安排提供决策支持。进一步增强本单位支出管理的责任，优化支出结构，提升预算管理水平，加强财政资金管理，合理、规范、有效使用财政资金，保障更好地履行职责，以达到改进预算管理、优化资源配置、控制节约成本、提高公共服务质量和财政资金使用效益，充分发挥本单位的职能作用。</w:t>
      </w:r>
    </w:p>
    <w:p>
      <w:pPr>
        <w:numPr>
          <w:ilvl w:val="0"/>
          <w:numId w:val="2"/>
        </w:numPr>
        <w:jc w:val="left"/>
        <w:rPr>
          <w:rFonts w:hint="eastAsia"/>
          <w:sz w:val="32"/>
          <w:szCs w:val="32"/>
          <w:lang w:val="en-US" w:eastAsia="zh-CN"/>
        </w:rPr>
      </w:pPr>
      <w:r>
        <w:rPr>
          <w:rFonts w:hint="eastAsia"/>
          <w:sz w:val="32"/>
          <w:szCs w:val="32"/>
          <w:lang w:val="en-US" w:eastAsia="zh-CN"/>
        </w:rPr>
        <w:t>绩效评价的局限性</w:t>
      </w:r>
    </w:p>
    <w:p>
      <w:pPr>
        <w:numPr>
          <w:ilvl w:val="0"/>
          <w:numId w:val="0"/>
        </w:numPr>
        <w:jc w:val="left"/>
        <w:rPr>
          <w:rFonts w:hint="eastAsia"/>
          <w:sz w:val="32"/>
          <w:szCs w:val="32"/>
          <w:lang w:val="en-US" w:eastAsia="zh-CN"/>
        </w:rPr>
      </w:pPr>
      <w:r>
        <w:rPr>
          <w:rFonts w:hint="eastAsia"/>
          <w:sz w:val="32"/>
          <w:szCs w:val="32"/>
          <w:lang w:val="en-US" w:eastAsia="zh-CN"/>
        </w:rPr>
        <w:t>绩效评价是一项综合工作，涉及财务管理、经济学、社会学等多个专业领域，仅仅依靠财务领域的人才在没有其他相关领域的专家进行协作的情况下，对部门整体支出进行独立评价具有一定的局限性。</w:t>
      </w:r>
    </w:p>
    <w:p>
      <w:pPr>
        <w:numPr>
          <w:ilvl w:val="0"/>
          <w:numId w:val="3"/>
        </w:numPr>
        <w:jc w:val="left"/>
        <w:rPr>
          <w:rFonts w:hint="eastAsia"/>
          <w:sz w:val="32"/>
          <w:szCs w:val="32"/>
          <w:lang w:val="en-US" w:eastAsia="zh-CN"/>
        </w:rPr>
      </w:pPr>
      <w:r>
        <w:rPr>
          <w:rFonts w:hint="eastAsia"/>
          <w:sz w:val="32"/>
          <w:szCs w:val="32"/>
          <w:lang w:val="en-US" w:eastAsia="zh-CN"/>
        </w:rPr>
        <w:t>部门整体支出绩效评价分析</w:t>
      </w:r>
    </w:p>
    <w:p>
      <w:pPr>
        <w:numPr>
          <w:ilvl w:val="0"/>
          <w:numId w:val="4"/>
        </w:numPr>
        <w:jc w:val="left"/>
        <w:rPr>
          <w:rFonts w:hint="eastAsia"/>
          <w:sz w:val="32"/>
          <w:szCs w:val="32"/>
          <w:lang w:val="en-US" w:eastAsia="zh-CN"/>
        </w:rPr>
      </w:pPr>
      <w:r>
        <w:rPr>
          <w:rFonts w:hint="eastAsia"/>
          <w:sz w:val="32"/>
          <w:szCs w:val="32"/>
          <w:lang w:val="en-US" w:eastAsia="zh-CN"/>
        </w:rPr>
        <w:t>投入</w:t>
      </w:r>
    </w:p>
    <w:p>
      <w:pPr>
        <w:numPr>
          <w:ilvl w:val="0"/>
          <w:numId w:val="5"/>
        </w:numPr>
        <w:jc w:val="left"/>
        <w:rPr>
          <w:rFonts w:hint="eastAsia"/>
          <w:sz w:val="32"/>
          <w:szCs w:val="32"/>
          <w:lang w:val="en-US" w:eastAsia="zh-CN"/>
        </w:rPr>
      </w:pPr>
      <w:r>
        <w:rPr>
          <w:rFonts w:hint="eastAsia"/>
          <w:sz w:val="32"/>
          <w:szCs w:val="32"/>
          <w:lang w:val="en-US" w:eastAsia="zh-CN"/>
        </w:rPr>
        <w:t>目标设定情况</w:t>
      </w:r>
    </w:p>
    <w:p>
      <w:pPr>
        <w:numPr>
          <w:ilvl w:val="0"/>
          <w:numId w:val="6"/>
        </w:numPr>
        <w:jc w:val="left"/>
        <w:rPr>
          <w:rFonts w:hint="eastAsia"/>
          <w:sz w:val="32"/>
          <w:szCs w:val="32"/>
          <w:lang w:val="en-US" w:eastAsia="zh-CN"/>
        </w:rPr>
      </w:pPr>
      <w:r>
        <w:rPr>
          <w:rFonts w:hint="eastAsia"/>
          <w:sz w:val="32"/>
          <w:szCs w:val="32"/>
          <w:lang w:val="en-US" w:eastAsia="zh-CN"/>
        </w:rPr>
        <w:t>绩效目标合理性</w:t>
      </w:r>
    </w:p>
    <w:p>
      <w:pPr>
        <w:numPr>
          <w:ilvl w:val="0"/>
          <w:numId w:val="0"/>
        </w:numPr>
        <w:jc w:val="left"/>
        <w:rPr>
          <w:rFonts w:hint="eastAsia"/>
          <w:sz w:val="32"/>
          <w:szCs w:val="32"/>
          <w:lang w:val="en-US" w:eastAsia="zh-CN"/>
        </w:rPr>
      </w:pPr>
      <w:r>
        <w:rPr>
          <w:rFonts w:hint="eastAsia"/>
          <w:sz w:val="32"/>
          <w:szCs w:val="32"/>
          <w:lang w:val="en-US" w:eastAsia="zh-CN"/>
        </w:rPr>
        <w:t>本单位所设立的整体绩效目标依据充分，符合国家法律法规、国民经济和社会发展总体规划，符合部门“三定”方案确定的职责，符合部门制定的中长期实施规划。根据评分标准，本单位该项指标得分3分。</w:t>
      </w:r>
    </w:p>
    <w:p>
      <w:pPr>
        <w:numPr>
          <w:ilvl w:val="0"/>
          <w:numId w:val="6"/>
        </w:numPr>
        <w:jc w:val="left"/>
        <w:rPr>
          <w:rFonts w:hint="eastAsia"/>
          <w:sz w:val="32"/>
          <w:szCs w:val="32"/>
          <w:lang w:val="en-US" w:eastAsia="zh-CN"/>
        </w:rPr>
      </w:pPr>
      <w:r>
        <w:rPr>
          <w:rFonts w:hint="eastAsia"/>
          <w:sz w:val="32"/>
          <w:szCs w:val="32"/>
          <w:lang w:val="en-US" w:eastAsia="zh-CN"/>
        </w:rPr>
        <w:t>绩效指标明确性</w:t>
      </w:r>
    </w:p>
    <w:p>
      <w:pPr>
        <w:numPr>
          <w:ilvl w:val="0"/>
          <w:numId w:val="0"/>
        </w:numPr>
        <w:jc w:val="left"/>
        <w:rPr>
          <w:rFonts w:hint="eastAsia"/>
          <w:sz w:val="32"/>
          <w:szCs w:val="32"/>
          <w:lang w:val="en-US" w:eastAsia="zh-CN"/>
        </w:rPr>
      </w:pPr>
      <w:r>
        <w:rPr>
          <w:rFonts w:hint="eastAsia"/>
          <w:sz w:val="32"/>
          <w:szCs w:val="32"/>
          <w:lang w:val="en-US" w:eastAsia="zh-CN"/>
        </w:rPr>
        <w:t>本单位将部门整体的绩效目标细化分解为具体工作任务，通过清晰、可衡量的指标值予以体现，与部门年度的任务数各计划数相对应，与本年度部门预算资金相匹配。依据整体绩效目标所设定的绩效指标清晰、细化、可衡量，用以反映各考核部门整体绩效目标的明细化情况。根据评分标准，本单位该项指标得分3分。</w:t>
      </w:r>
    </w:p>
    <w:p>
      <w:pPr>
        <w:numPr>
          <w:ilvl w:val="0"/>
          <w:numId w:val="7"/>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预算配置情况</w:t>
      </w:r>
    </w:p>
    <w:p>
      <w:pPr>
        <w:numPr>
          <w:ilvl w:val="0"/>
          <w:numId w:val="8"/>
        </w:num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在职人员控制率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本单位2017年度编制人数为26人，实际在职26人，在职人员控制率100%，根据评价标准本单位该项指标得分3分。</w:t>
      </w:r>
    </w:p>
    <w:p>
      <w:pPr>
        <w:numPr>
          <w:ilvl w:val="0"/>
          <w:numId w:val="8"/>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“三公经费”变动率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2017年度本单位预算安排“三公经费”总额为17000元，公务接待费17000元，比去年减少1000元，本单位根据评价标准本单位该项指标得分4分。</w:t>
      </w:r>
    </w:p>
    <w:p>
      <w:pPr>
        <w:numPr>
          <w:ilvl w:val="0"/>
          <w:numId w:val="9"/>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过程</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1预算执行情况</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本单位年初结转和结余122.82万元；年初预算982.41万元；年末结转和结余125.88元，完成率为99%，本单位根据评价标准本单位该项指标得分4分。</w:t>
      </w:r>
    </w:p>
    <w:p>
      <w:pPr>
        <w:numPr>
          <w:ilvl w:val="0"/>
          <w:numId w:val="1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预算控制率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本单位2017年初预算982.41万元；预算控制率99%，本单位根据评价标准本单位该项指标得分4分。</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（3）新建楼堂馆所面积控制率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2017年本单位没有楼堂馆所项目，根据评价标准本单位该项指标得分5分。</w:t>
      </w:r>
    </w:p>
    <w:p>
      <w:pPr>
        <w:numPr>
          <w:ilvl w:val="0"/>
          <w:numId w:val="11"/>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新建楼堂馆所投资概算控制率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2017年本单位没有楼堂馆所项目，根据评价标准本单位该项指标得分5分。</w:t>
      </w:r>
    </w:p>
    <w:p>
      <w:pPr>
        <w:numPr>
          <w:ilvl w:val="0"/>
          <w:numId w:val="12"/>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预算管理情况</w:t>
      </w:r>
    </w:p>
    <w:p>
      <w:pPr>
        <w:numPr>
          <w:ilvl w:val="0"/>
          <w:numId w:val="13"/>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公用经费控制率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2017年本单位年初预算安排公用经费55.8万元，决算报表列示部门基本支出的一般商品和服务支出为33.84万元；公用经费控制率为60%小于100%，根据评价标准本单位该项指标得分8分。</w:t>
      </w:r>
    </w:p>
    <w:p>
      <w:pPr>
        <w:numPr>
          <w:ilvl w:val="0"/>
          <w:numId w:val="13"/>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“三公经费”控制率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2017年本单位“三公经费”年初预算数为17000元，其中公务接待17000元，年末支出是0，根据评价标准本单位该项指标得分8分。</w:t>
      </w:r>
    </w:p>
    <w:p>
      <w:pPr>
        <w:numPr>
          <w:ilvl w:val="0"/>
          <w:numId w:val="13"/>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政府采购执行率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2017年初没有打政府采购预算。根据评价标准本单位该项指标得分6分。</w:t>
      </w:r>
    </w:p>
    <w:p>
      <w:pPr>
        <w:numPr>
          <w:ilvl w:val="0"/>
          <w:numId w:val="13"/>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管理制度健全性</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本单位建立了各项管理制度，相关管理制度合法、合规、完整，并得到有效执行。根据评价标准本单位该项指标得分6分。</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（5）资金使用合规性</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支出符合国家财经法规和财务管理制度规定以及有关专项资金管理办法的规定，资金的拨付有完整的审批过程和手续，支出符合部门预算批复的用途，资金使用无截留、挤占、挪用、虚列支出等情况，根据评价标准本单位该项指标得分6分。</w:t>
      </w:r>
    </w:p>
    <w:p>
      <w:pPr>
        <w:numPr>
          <w:ilvl w:val="0"/>
          <w:numId w:val="14"/>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预决算信息公开性</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本单位2017年度预决算信息按照规定时间、规定内容公开，基础数据信息和会计信息资料真实、完整，基础数据信息和汇集信息资料准确。根据评价标准本单位该项指标得分8分，</w:t>
      </w:r>
    </w:p>
    <w:p>
      <w:pPr>
        <w:numPr>
          <w:ilvl w:val="0"/>
          <w:numId w:val="15"/>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产出及效率</w:t>
      </w:r>
    </w:p>
    <w:p>
      <w:pPr>
        <w:numPr>
          <w:ilvl w:val="0"/>
          <w:numId w:val="16"/>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重点工作完成率</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根据《中共保靖县委办公室 保靖县人民政府办公室关于2017年度全县五个文明建设绩效考核各县级文明单位创建工作考核评估情况的通报》（保办发[2017]6号），本单位2017年度五个文明建设绩效考核等次为一等。根据评价标准本单位该项指标得分8分。</w:t>
      </w:r>
    </w:p>
    <w:p>
      <w:pPr>
        <w:numPr>
          <w:ilvl w:val="0"/>
          <w:numId w:val="16"/>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履职效益</w:t>
      </w:r>
    </w:p>
    <w:p>
      <w:pPr>
        <w:numPr>
          <w:ilvl w:val="0"/>
          <w:numId w:val="17"/>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经济效益和社会效益</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本单位属公益事业单位，没有经济效益，根据评价标准本单位该项指标得分6分。</w:t>
      </w:r>
    </w:p>
    <w:p>
      <w:pPr>
        <w:numPr>
          <w:ilvl w:val="0"/>
          <w:numId w:val="17"/>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行政效能</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本单位2017年度狠抓学习教育，不断改善行政管理，加强制度体系建设，严格资产管理和经费使用，提高行政效率，但还有些不足，根据评价标准本单位该项指标得分3分。</w:t>
      </w:r>
    </w:p>
    <w:p>
      <w:pPr>
        <w:numPr>
          <w:ilvl w:val="0"/>
          <w:numId w:val="17"/>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社会公众或服务对象满意度</w:t>
      </w:r>
    </w:p>
    <w:p>
      <w:pPr>
        <w:numPr>
          <w:ilvl w:val="0"/>
          <w:numId w:val="0"/>
        </w:num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2016年度经过大家的努力，保靖县城街道干净、整洁，通过同建同治工作检查，保靖县卫生也是得到认可的，社会大从也比校满意，根据评价标准本单位该项指标得分6分。根据整体支出绩效评价指标表打分，本单位得96分。</w:t>
      </w:r>
    </w:p>
    <w:p>
      <w:pPr>
        <w:numPr>
          <w:ilvl w:val="0"/>
          <w:numId w:val="0"/>
        </w:numPr>
        <w:jc w:val="left"/>
        <w:rPr>
          <w:rFonts w:hint="eastAsia" w:asciiTheme="minorEastAsia" w:hAnsiTheme="minorEastAsia" w:cstheme="minorEastAsia"/>
          <w:sz w:val="32"/>
          <w:szCs w:val="32"/>
          <w:lang w:val="en-US" w:eastAsia="zh-CN"/>
        </w:rPr>
      </w:pPr>
    </w:p>
    <w:p>
      <w:pPr>
        <w:numPr>
          <w:ilvl w:val="0"/>
          <w:numId w:val="18"/>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存在的问题</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单位制度不够细化，执行力度不强，业务知识不够专。</w:t>
      </w:r>
    </w:p>
    <w:p>
      <w:pPr>
        <w:numPr>
          <w:ilvl w:val="0"/>
          <w:numId w:val="19"/>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建议</w:t>
      </w:r>
    </w:p>
    <w:p>
      <w:pPr>
        <w:numPr>
          <w:ilvl w:val="0"/>
          <w:numId w:val="0"/>
        </w:numPr>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建议加强政治、业务学习，提高思想认识。组织单位人员认真学习《预算法》等相关法规、制度，提高单位领导对全面预算管理的重视程度，增强财务人员的预算意识，坚持先有预算后有支出，没有预算不得支出的财政预算管理理念。</w:t>
      </w:r>
    </w:p>
    <w:p>
      <w:pPr>
        <w:numPr>
          <w:ilvl w:val="0"/>
          <w:numId w:val="0"/>
        </w:numPr>
        <w:jc w:val="left"/>
        <w:rPr>
          <w:rFonts w:hint="eastAsia" w:asciiTheme="minorEastAsia" w:hAnsiTheme="minorEastAsia" w:cstheme="minorEastAsia"/>
          <w:sz w:val="32"/>
          <w:szCs w:val="32"/>
          <w:lang w:val="en-US" w:eastAsia="zh-CN"/>
        </w:rPr>
      </w:pPr>
    </w:p>
    <w:p>
      <w:pPr>
        <w:numPr>
          <w:ilvl w:val="0"/>
          <w:numId w:val="0"/>
        </w:numPr>
        <w:jc w:val="left"/>
        <w:rPr>
          <w:rFonts w:hint="eastAsia" w:asciiTheme="minorEastAsia" w:hAnsiTheme="minorEastAsia" w:cstheme="minorEastAsia"/>
          <w:sz w:val="32"/>
          <w:szCs w:val="32"/>
          <w:lang w:val="en-US" w:eastAsia="zh-CN"/>
        </w:rPr>
      </w:pPr>
    </w:p>
    <w:p>
      <w:pPr>
        <w:numPr>
          <w:ilvl w:val="0"/>
          <w:numId w:val="0"/>
        </w:numPr>
        <w:ind w:firstLine="4480" w:firstLineChars="1400"/>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保靖县环卫所</w:t>
      </w:r>
    </w:p>
    <w:p>
      <w:pPr>
        <w:numPr>
          <w:ilvl w:val="0"/>
          <w:numId w:val="0"/>
        </w:numPr>
        <w:ind w:firstLine="4480" w:firstLineChars="1400"/>
        <w:jc w:val="left"/>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2017年10月</w:t>
      </w:r>
    </w:p>
    <w:p>
      <w:pPr>
        <w:numPr>
          <w:ilvl w:val="0"/>
          <w:numId w:val="0"/>
        </w:numPr>
        <w:jc w:val="left"/>
        <w:rPr>
          <w:rFonts w:hint="eastAsia" w:asciiTheme="minorEastAsia" w:hAnsiTheme="minorEastAsia" w:cstheme="minorEastAsia"/>
          <w:sz w:val="32"/>
          <w:szCs w:val="32"/>
          <w:lang w:val="en-US" w:eastAsia="zh-CN"/>
        </w:rPr>
      </w:pPr>
    </w:p>
    <w:p>
      <w:pPr>
        <w:numPr>
          <w:ilvl w:val="0"/>
          <w:numId w:val="0"/>
        </w:numPr>
        <w:jc w:val="left"/>
        <w:rPr>
          <w:rFonts w:hint="eastAsia" w:asciiTheme="minorEastAsia" w:hAnsi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ADB8"/>
    <w:multiLevelType w:val="singleLevel"/>
    <w:tmpl w:val="59EEADB8"/>
    <w:lvl w:ilvl="0" w:tentative="0">
      <w:start w:val="1"/>
      <w:numFmt w:val="chineseCounting"/>
      <w:suff w:val="nothing"/>
      <w:lvlText w:val="%1、"/>
      <w:lvlJc w:val="left"/>
    </w:lvl>
  </w:abstractNum>
  <w:abstractNum w:abstractNumId="1">
    <w:nsid w:val="59EEB6F5"/>
    <w:multiLevelType w:val="singleLevel"/>
    <w:tmpl w:val="59EEB6F5"/>
    <w:lvl w:ilvl="0" w:tentative="0">
      <w:start w:val="1"/>
      <w:numFmt w:val="decimal"/>
      <w:suff w:val="nothing"/>
      <w:lvlText w:val="%1、"/>
      <w:lvlJc w:val="left"/>
    </w:lvl>
  </w:abstractNum>
  <w:abstractNum w:abstractNumId="2">
    <w:nsid w:val="59EEB9C7"/>
    <w:multiLevelType w:val="singleLevel"/>
    <w:tmpl w:val="59EEB9C7"/>
    <w:lvl w:ilvl="0" w:tentative="0">
      <w:start w:val="4"/>
      <w:numFmt w:val="chineseCounting"/>
      <w:suff w:val="nothing"/>
      <w:lvlText w:val="%1、"/>
      <w:lvlJc w:val="left"/>
    </w:lvl>
  </w:abstractNum>
  <w:abstractNum w:abstractNumId="3">
    <w:nsid w:val="59EEB9E3"/>
    <w:multiLevelType w:val="singleLevel"/>
    <w:tmpl w:val="59EEB9E3"/>
    <w:lvl w:ilvl="0" w:tentative="0">
      <w:start w:val="1"/>
      <w:numFmt w:val="chineseCounting"/>
      <w:suff w:val="nothing"/>
      <w:lvlText w:val="（%1）"/>
      <w:lvlJc w:val="left"/>
    </w:lvl>
  </w:abstractNum>
  <w:abstractNum w:abstractNumId="4">
    <w:nsid w:val="59EEBA40"/>
    <w:multiLevelType w:val="singleLevel"/>
    <w:tmpl w:val="59EEBA40"/>
    <w:lvl w:ilvl="0" w:tentative="0">
      <w:start w:val="1"/>
      <w:numFmt w:val="decimal"/>
      <w:suff w:val="nothing"/>
      <w:lvlText w:val="%1、"/>
      <w:lvlJc w:val="left"/>
    </w:lvl>
  </w:abstractNum>
  <w:abstractNum w:abstractNumId="5">
    <w:nsid w:val="59EEBA80"/>
    <w:multiLevelType w:val="singleLevel"/>
    <w:tmpl w:val="59EEBA80"/>
    <w:lvl w:ilvl="0" w:tentative="0">
      <w:start w:val="1"/>
      <w:numFmt w:val="decimal"/>
      <w:suff w:val="nothing"/>
      <w:lvlText w:val="（%1）"/>
      <w:lvlJc w:val="left"/>
    </w:lvl>
  </w:abstractNum>
  <w:abstractNum w:abstractNumId="6">
    <w:nsid w:val="59EEBD4C"/>
    <w:multiLevelType w:val="singleLevel"/>
    <w:tmpl w:val="59EEBD4C"/>
    <w:lvl w:ilvl="0" w:tentative="0">
      <w:start w:val="2"/>
      <w:numFmt w:val="decimal"/>
      <w:suff w:val="nothing"/>
      <w:lvlText w:val="%1、"/>
      <w:lvlJc w:val="left"/>
    </w:lvl>
  </w:abstractNum>
  <w:abstractNum w:abstractNumId="7">
    <w:nsid w:val="59EEBF6B"/>
    <w:multiLevelType w:val="singleLevel"/>
    <w:tmpl w:val="59EEBF6B"/>
    <w:lvl w:ilvl="0" w:tentative="0">
      <w:start w:val="1"/>
      <w:numFmt w:val="decimal"/>
      <w:suff w:val="nothing"/>
      <w:lvlText w:val="（%1）"/>
      <w:lvlJc w:val="left"/>
    </w:lvl>
  </w:abstractNum>
  <w:abstractNum w:abstractNumId="8">
    <w:nsid w:val="59EEC224"/>
    <w:multiLevelType w:val="singleLevel"/>
    <w:tmpl w:val="59EEC224"/>
    <w:lvl w:ilvl="0" w:tentative="0">
      <w:start w:val="2"/>
      <w:numFmt w:val="chineseCounting"/>
      <w:suff w:val="nothing"/>
      <w:lvlText w:val="（%1）"/>
      <w:lvlJc w:val="left"/>
    </w:lvl>
  </w:abstractNum>
  <w:abstractNum w:abstractNumId="9">
    <w:nsid w:val="59EEC5C0"/>
    <w:multiLevelType w:val="singleLevel"/>
    <w:tmpl w:val="59EEC5C0"/>
    <w:lvl w:ilvl="0" w:tentative="0">
      <w:start w:val="2"/>
      <w:numFmt w:val="decimal"/>
      <w:suff w:val="nothing"/>
      <w:lvlText w:val="（%1）"/>
      <w:lvlJc w:val="left"/>
    </w:lvl>
  </w:abstractNum>
  <w:abstractNum w:abstractNumId="10">
    <w:nsid w:val="59EEC8CB"/>
    <w:multiLevelType w:val="singleLevel"/>
    <w:tmpl w:val="59EEC8CB"/>
    <w:lvl w:ilvl="0" w:tentative="0">
      <w:start w:val="4"/>
      <w:numFmt w:val="decimal"/>
      <w:suff w:val="nothing"/>
      <w:lvlText w:val="（%1）"/>
      <w:lvlJc w:val="left"/>
    </w:lvl>
  </w:abstractNum>
  <w:abstractNum w:abstractNumId="11">
    <w:nsid w:val="59EEC907"/>
    <w:multiLevelType w:val="singleLevel"/>
    <w:tmpl w:val="59EEC907"/>
    <w:lvl w:ilvl="0" w:tentative="0">
      <w:start w:val="2"/>
      <w:numFmt w:val="decimal"/>
      <w:suff w:val="nothing"/>
      <w:lvlText w:val="%1、"/>
      <w:lvlJc w:val="left"/>
    </w:lvl>
  </w:abstractNum>
  <w:abstractNum w:abstractNumId="12">
    <w:nsid w:val="59EECD6D"/>
    <w:multiLevelType w:val="singleLevel"/>
    <w:tmpl w:val="59EECD6D"/>
    <w:lvl w:ilvl="0" w:tentative="0">
      <w:start w:val="1"/>
      <w:numFmt w:val="decimal"/>
      <w:suff w:val="nothing"/>
      <w:lvlText w:val="（%1）"/>
      <w:lvlJc w:val="left"/>
    </w:lvl>
  </w:abstractNum>
  <w:abstractNum w:abstractNumId="13">
    <w:nsid w:val="59EED1EA"/>
    <w:multiLevelType w:val="singleLevel"/>
    <w:tmpl w:val="59EED1EA"/>
    <w:lvl w:ilvl="0" w:tentative="0">
      <w:start w:val="6"/>
      <w:numFmt w:val="decimal"/>
      <w:suff w:val="nothing"/>
      <w:lvlText w:val="（%1）"/>
      <w:lvlJc w:val="left"/>
    </w:lvl>
  </w:abstractNum>
  <w:abstractNum w:abstractNumId="14">
    <w:nsid w:val="59EED29D"/>
    <w:multiLevelType w:val="singleLevel"/>
    <w:tmpl w:val="59EED29D"/>
    <w:lvl w:ilvl="0" w:tentative="0">
      <w:start w:val="3"/>
      <w:numFmt w:val="chineseCounting"/>
      <w:suff w:val="nothing"/>
      <w:lvlText w:val="（%1）"/>
      <w:lvlJc w:val="left"/>
    </w:lvl>
  </w:abstractNum>
  <w:abstractNum w:abstractNumId="15">
    <w:nsid w:val="59EED2BC"/>
    <w:multiLevelType w:val="singleLevel"/>
    <w:tmpl w:val="59EED2BC"/>
    <w:lvl w:ilvl="0" w:tentative="0">
      <w:start w:val="1"/>
      <w:numFmt w:val="decimal"/>
      <w:suff w:val="nothing"/>
      <w:lvlText w:val="%1、"/>
      <w:lvlJc w:val="left"/>
    </w:lvl>
  </w:abstractNum>
  <w:abstractNum w:abstractNumId="16">
    <w:nsid w:val="59EED41D"/>
    <w:multiLevelType w:val="singleLevel"/>
    <w:tmpl w:val="59EED41D"/>
    <w:lvl w:ilvl="0" w:tentative="0">
      <w:start w:val="1"/>
      <w:numFmt w:val="decimal"/>
      <w:suff w:val="nothing"/>
      <w:lvlText w:val="（%1）"/>
      <w:lvlJc w:val="left"/>
    </w:lvl>
  </w:abstractNum>
  <w:abstractNum w:abstractNumId="17">
    <w:nsid w:val="59EED8BE"/>
    <w:multiLevelType w:val="singleLevel"/>
    <w:tmpl w:val="59EED8BE"/>
    <w:lvl w:ilvl="0" w:tentative="0">
      <w:start w:val="5"/>
      <w:numFmt w:val="chineseCounting"/>
      <w:suff w:val="nothing"/>
      <w:lvlText w:val="%1、"/>
      <w:lvlJc w:val="left"/>
    </w:lvl>
  </w:abstractNum>
  <w:abstractNum w:abstractNumId="18">
    <w:nsid w:val="59EEDA0A"/>
    <w:multiLevelType w:val="singleLevel"/>
    <w:tmpl w:val="59EEDA0A"/>
    <w:lvl w:ilvl="0" w:tentative="0">
      <w:start w:val="6"/>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95FEB"/>
    <w:rsid w:val="0BED1600"/>
    <w:rsid w:val="2A2E3554"/>
    <w:rsid w:val="2ACA6868"/>
    <w:rsid w:val="2E5B6726"/>
    <w:rsid w:val="2EFC7935"/>
    <w:rsid w:val="3A0A302D"/>
    <w:rsid w:val="4EEE2E9E"/>
    <w:rsid w:val="57795FEB"/>
    <w:rsid w:val="5A38649E"/>
    <w:rsid w:val="5C7B5753"/>
    <w:rsid w:val="5F2310AF"/>
    <w:rsid w:val="64524B5A"/>
    <w:rsid w:val="6BE52F7F"/>
    <w:rsid w:val="7A0D6626"/>
    <w:rsid w:val="7F31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2017-10-24T02:44:00Z</dcterms:created>
  <dc:creator>hs</dc:creator>
  <cp:lastModifiedBy>hs</cp:lastModifiedBy>
  <cp:lastPrinted>2018-08-03T02:02:00Z</cp:lastPrinted>
  <dcterms:modified xsi:type="dcterms:W3CDTF">2018-08-06T01:17:26Z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