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pacing w:line="360" w:lineRule="auto"/>
        <w:ind w:left="0" w:leftChars="0" w:right="0" w:rightChars="0"/>
        <w:jc w:val="center"/>
        <w:textAlignment w:val="auto"/>
        <w:rPr>
          <w:rFonts w:hint="eastAsia" w:ascii="仿宋" w:hAnsi="仿宋" w:eastAsia="仿宋" w:cs="仿宋"/>
          <w:sz w:val="32"/>
          <w:szCs w:val="32"/>
          <w:lang w:val="en-US" w:eastAsia="zh-CN"/>
        </w:rPr>
      </w:pPr>
    </w:p>
    <w:p>
      <w:pPr>
        <w:keepNext w:val="0"/>
        <w:keepLines w:val="0"/>
        <w:pageBreakBefore w:val="0"/>
        <w:kinsoku/>
        <w:overflowPunct/>
        <w:topLinePunct w:val="0"/>
        <w:autoSpaceDE/>
        <w:autoSpaceDN/>
        <w:bidi w:val="0"/>
        <w:adjustRightInd/>
        <w:spacing w:line="360" w:lineRule="auto"/>
        <w:ind w:left="0" w:leftChars="0" w:right="0" w:righ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保靖县纪委</w:t>
      </w:r>
    </w:p>
    <w:p>
      <w:pPr>
        <w:keepNext w:val="0"/>
        <w:keepLines w:val="0"/>
        <w:pageBreakBefore w:val="0"/>
        <w:kinsoku/>
        <w:overflowPunct/>
        <w:topLinePunct w:val="0"/>
        <w:autoSpaceDE/>
        <w:autoSpaceDN/>
        <w:bidi w:val="0"/>
        <w:adjustRightInd/>
        <w:spacing w:line="360" w:lineRule="auto"/>
        <w:ind w:left="0" w:leftChars="0" w:right="0" w:righ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2017年财政性资金整体支出</w:t>
      </w:r>
    </w:p>
    <w:p>
      <w:pPr>
        <w:keepNext w:val="0"/>
        <w:keepLines w:val="0"/>
        <w:pageBreakBefore w:val="0"/>
        <w:kinsoku/>
        <w:overflowPunct/>
        <w:topLinePunct w:val="0"/>
        <w:autoSpaceDE/>
        <w:autoSpaceDN/>
        <w:bidi w:val="0"/>
        <w:adjustRightInd/>
        <w:spacing w:line="360" w:lineRule="auto"/>
        <w:ind w:left="0" w:leftChars="0" w:right="0" w:righ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绩效自评报告</w:t>
      </w:r>
    </w:p>
    <w:p>
      <w:pPr>
        <w:keepNext w:val="0"/>
        <w:keepLines w:val="0"/>
        <w:pageBreakBefore w:val="0"/>
        <w:kinsoku/>
        <w:overflowPunct/>
        <w:topLinePunct w:val="0"/>
        <w:autoSpaceDE/>
        <w:autoSpaceDN/>
        <w:bidi w:val="0"/>
        <w:adjustRightInd/>
        <w:spacing w:line="360" w:lineRule="auto"/>
        <w:ind w:left="0" w:leftChars="0" w:right="0" w:rightChars="0"/>
        <w:jc w:val="center"/>
        <w:textAlignment w:val="auto"/>
        <w:rPr>
          <w:rFonts w:hint="eastAsia" w:ascii="仿宋" w:hAnsi="仿宋" w:eastAsia="仿宋" w:cs="仿宋"/>
          <w:sz w:val="32"/>
          <w:szCs w:val="32"/>
          <w:lang w:val="en-US" w:eastAsia="zh-CN"/>
        </w:rPr>
      </w:pPr>
    </w:p>
    <w:p>
      <w:pPr>
        <w:keepNext w:val="0"/>
        <w:keepLines w:val="0"/>
        <w:pageBreakBefore w:val="0"/>
        <w:kinsoku/>
        <w:overflowPunct/>
        <w:topLinePunct w:val="0"/>
        <w:autoSpaceDE/>
        <w:autoSpaceDN/>
        <w:bidi w:val="0"/>
        <w:adjustRightInd/>
        <w:spacing w:line="360" w:lineRule="auto"/>
        <w:ind w:left="0" w:leftChars="0" w:right="0" w:rightChars="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sz w:val="32"/>
          <w:szCs w:val="32"/>
          <w:lang w:val="en-US" w:eastAsia="zh-CN"/>
        </w:rPr>
        <w:t xml:space="preserve">    为加强财政预算资金管理，进一步规范预算资金使用，提高财政资金使用效益，根据《保靖县财政局关于开展2017年财政性资金整体支出绩效自评的通知》（保财绩〔2018〕2</w:t>
      </w:r>
      <w:bookmarkStart w:id="0" w:name="_GoBack"/>
      <w:r>
        <w:rPr>
          <w:rFonts w:hint="eastAsia" w:ascii="仿宋" w:hAnsi="仿宋" w:eastAsia="仿宋" w:cs="仿宋"/>
          <w:color w:val="auto"/>
          <w:sz w:val="32"/>
          <w:szCs w:val="32"/>
          <w:lang w:val="en-US" w:eastAsia="zh-CN"/>
        </w:rPr>
        <w:t>号）要求，我单位积极组织，对2017年度本单位财政性资金整体支出进行了绩效自评，现将具体绩效评价情况报告如下：       </w:t>
      </w:r>
    </w:p>
    <w:p>
      <w:pPr>
        <w:keepNext w:val="0"/>
        <w:keepLines w:val="0"/>
        <w:pageBreakBefore w:val="0"/>
        <w:numPr>
          <w:ilvl w:val="0"/>
          <w:numId w:val="0"/>
        </w:numPr>
        <w:tabs>
          <w:tab w:val="left" w:pos="1153"/>
        </w:tabs>
        <w:kinsoku/>
        <w:overflowPunct/>
        <w:topLinePunct w:val="0"/>
        <w:autoSpaceDE/>
        <w:autoSpaceDN/>
        <w:bidi w:val="0"/>
        <w:adjustRightInd/>
        <w:spacing w:line="360" w:lineRule="auto"/>
        <w:ind w:left="0" w:leftChars="0" w:right="0" w:rightChars="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bCs/>
          <w:color w:val="auto"/>
          <w:sz w:val="32"/>
          <w:szCs w:val="32"/>
          <w:lang w:val="en-US" w:eastAsia="zh-CN"/>
        </w:rPr>
        <w:t xml:space="preserve"> </w:t>
      </w:r>
      <w:r>
        <w:rPr>
          <w:rFonts w:hint="eastAsia" w:ascii="黑体" w:hAnsi="黑体" w:eastAsia="黑体" w:cs="黑体"/>
          <w:b w:val="0"/>
          <w:bCs w:val="0"/>
          <w:color w:val="auto"/>
          <w:sz w:val="32"/>
          <w:szCs w:val="32"/>
          <w:lang w:val="en-US" w:eastAsia="zh-CN"/>
        </w:rPr>
        <w:t xml:space="preserve"> 一、部门概况</w:t>
      </w:r>
    </w:p>
    <w:p>
      <w:pPr>
        <w:keepNext w:val="0"/>
        <w:keepLines w:val="0"/>
        <w:pageBreakBefore w:val="0"/>
        <w:widowControl/>
        <w:suppressLineNumbers w:val="0"/>
        <w:kinsoku/>
        <w:overflowPunct/>
        <w:topLinePunct w:val="0"/>
        <w:bidi w:val="0"/>
        <w:spacing w:beforeAutospacing="0" w:afterAutospacing="0" w:line="360" w:lineRule="auto"/>
        <w:ind w:left="0" w:leftChars="0" w:right="0" w:rightChars="0" w:firstLine="420"/>
        <w:jc w:val="left"/>
        <w:textAlignment w:val="auto"/>
        <w:rPr>
          <w:rFonts w:hint="eastAsia" w:ascii="仿宋" w:hAnsi="仿宋" w:eastAsia="仿宋" w:cs="仿宋"/>
          <w:bCs/>
          <w:color w:val="auto"/>
          <w:kern w:val="0"/>
          <w:sz w:val="32"/>
          <w:szCs w:val="32"/>
          <w:lang w:val="en-US" w:eastAsia="zh-CN" w:bidi="ar"/>
        </w:rPr>
      </w:pPr>
      <w:r>
        <w:rPr>
          <w:rFonts w:hint="eastAsia" w:ascii="仿宋" w:hAnsi="仿宋" w:eastAsia="仿宋" w:cs="仿宋"/>
          <w:bCs/>
          <w:color w:val="auto"/>
          <w:kern w:val="0"/>
          <w:sz w:val="32"/>
          <w:szCs w:val="32"/>
          <w:lang w:val="en-US" w:eastAsia="zh-CN" w:bidi="ar"/>
        </w:rPr>
        <w:t>（一）部门主要职责</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42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bCs/>
          <w:color w:val="auto"/>
          <w:kern w:val="0"/>
          <w:sz w:val="32"/>
          <w:szCs w:val="32"/>
          <w:lang w:val="en-US" w:eastAsia="zh-CN"/>
        </w:rPr>
        <w:t xml:space="preserve">   </w:t>
      </w:r>
      <w:r>
        <w:rPr>
          <w:rFonts w:hint="eastAsia" w:ascii="仿宋" w:hAnsi="仿宋" w:eastAsia="仿宋" w:cs="仿宋"/>
          <w:color w:val="auto"/>
          <w:kern w:val="0"/>
          <w:sz w:val="32"/>
          <w:szCs w:val="32"/>
          <w:lang w:val="en-US" w:eastAsia="zh-CN" w:bidi="ar"/>
        </w:rPr>
        <w:t xml:space="preserve">1、贯彻落实党中央、中央纪委、省委、省纪委、州委、州纪委和县委加强党风廉政建设和党纪检查的指导、决定，领导全县和党组织关系在地方的省、州单位党的纪律检查工作。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42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  2、负责对党员进行纪律教育，做出关于维护党纪的决定。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42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  3、负责检查并处理全县各级党的组织和党员违反党章、党纪和国家法律、法令的重要或复杂的案件，按照管理权限决定或取消对这些案件中的党员的处分；受理党员的控告和申诉，保护党员的民主权利和合法权益。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42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  4、调查各级党组织和党员遵纪守法情况，研究党风党纪问题，建立健全党内法规、制度。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42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  5、按照分级管理原则，监督检查县人民政府各部门及其国家公务员、县人民政府及其各部门任命的其他人员、乡镇人民政府及其领导人员、县属企事业单位及其他由国家行政机关任命的领导干部执行国家法律、法规、政策、决定、命令的情况。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420" w:firstLineChars="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  6、受理个人和单位对监察对象的检举、控告，受理监察对象不服行政处分的申诉，保护监察对象的正当权利和合法权益。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420" w:firstLineChars="0"/>
        <w:jc w:val="left"/>
        <w:textAlignment w:val="auto"/>
        <w:outlineLvl w:val="9"/>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 xml:space="preserve">  7、研究政风政纪中带普遍性、倾向性的问题，制定地方性行政监察规章制度，并组织实施。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left"/>
        <w:textAlignment w:val="auto"/>
        <w:outlineLvl w:val="9"/>
        <w:rPr>
          <w:rFonts w:hint="eastAsia" w:ascii="仿宋" w:hAnsi="仿宋" w:eastAsia="仿宋" w:cs="仿宋"/>
          <w:b/>
          <w:bCs/>
          <w:color w:val="auto"/>
          <w:sz w:val="32"/>
          <w:szCs w:val="32"/>
          <w:lang w:val="en-US" w:eastAsia="zh-CN"/>
        </w:rPr>
      </w:pPr>
      <w:r>
        <w:rPr>
          <w:rFonts w:hint="eastAsia" w:ascii="仿宋" w:hAnsi="仿宋" w:eastAsia="仿宋" w:cs="仿宋"/>
          <w:b w:val="0"/>
          <w:bCs w:val="0"/>
          <w:color w:val="auto"/>
          <w:sz w:val="32"/>
          <w:szCs w:val="32"/>
          <w:lang w:val="en-US" w:eastAsia="zh-CN"/>
        </w:rPr>
        <w:t>(二)部门组织机构及人员情况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仿宋" w:hAnsi="仿宋" w:eastAsia="仿宋" w:cs="仿宋"/>
          <w:b w:val="0"/>
          <w:bCs w:val="0"/>
          <w:color w:val="auto"/>
          <w:sz w:val="32"/>
          <w:szCs w:val="32"/>
        </w:rPr>
      </w:pPr>
      <w:r>
        <w:rPr>
          <w:rFonts w:hint="eastAsia" w:ascii="仿宋" w:hAnsi="仿宋" w:eastAsia="仿宋" w:cs="仿宋"/>
          <w:color w:val="auto"/>
          <w:sz w:val="32"/>
          <w:szCs w:val="32"/>
          <w:lang w:val="en-US" w:eastAsia="zh-CN" w:bidi="ar"/>
        </w:rPr>
        <w:t xml:space="preserve">    县纪委内设17个职能室，总编制78个，在职在编人员63人，在编在岗人员63人。</w:t>
      </w:r>
    </w:p>
    <w:p>
      <w:pPr>
        <w:keepNext w:val="0"/>
        <w:keepLines w:val="0"/>
        <w:pageBreakBefore w:val="0"/>
        <w:numPr>
          <w:ilvl w:val="0"/>
          <w:numId w:val="0"/>
        </w:numPr>
        <w:kinsoku/>
        <w:overflowPunct/>
        <w:topLinePunct w:val="0"/>
        <w:autoSpaceDE/>
        <w:autoSpaceDN/>
        <w:bidi w:val="0"/>
        <w:adjustRightInd/>
        <w:spacing w:line="360" w:lineRule="auto"/>
        <w:ind w:left="0" w:leftChars="0" w:right="0" w:rightChars="0" w:firstLine="0" w:firstLineChars="0"/>
        <w:jc w:val="left"/>
        <w:textAlignment w:val="auto"/>
        <w:rPr>
          <w:rFonts w:hint="eastAsia" w:ascii="黑体" w:hAnsi="黑体" w:eastAsia="黑体" w:cs="黑体"/>
          <w:b w:val="0"/>
          <w:bCs w:val="0"/>
          <w:color w:val="auto"/>
          <w:sz w:val="32"/>
          <w:szCs w:val="32"/>
          <w:lang w:val="en-US" w:eastAsia="zh-CN"/>
        </w:rPr>
      </w:pPr>
      <w:r>
        <w:rPr>
          <w:rFonts w:hint="eastAsia" w:ascii="仿宋" w:hAnsi="仿宋" w:eastAsia="仿宋" w:cs="仿宋"/>
          <w:b/>
          <w:bCs/>
          <w:color w:val="auto"/>
          <w:sz w:val="32"/>
          <w:szCs w:val="32"/>
          <w:lang w:val="en-US" w:eastAsia="zh-CN"/>
        </w:rPr>
        <w:t xml:space="preserve">   </w:t>
      </w:r>
      <w:r>
        <w:rPr>
          <w:rFonts w:hint="eastAsia" w:ascii="黑体" w:hAnsi="黑体" w:eastAsia="黑体" w:cs="黑体"/>
          <w:b w:val="0"/>
          <w:bCs w:val="0"/>
          <w:color w:val="auto"/>
          <w:sz w:val="32"/>
          <w:szCs w:val="32"/>
          <w:lang w:val="en-US" w:eastAsia="zh-CN"/>
        </w:rPr>
        <w:t xml:space="preserve"> 二、部门整体收支情况</w:t>
      </w:r>
    </w:p>
    <w:p>
      <w:pPr>
        <w:keepNext w:val="0"/>
        <w:keepLines w:val="0"/>
        <w:pageBreakBefore w:val="0"/>
        <w:widowControl w:val="0"/>
        <w:suppressLineNumbers w:val="0"/>
        <w:kinsoku/>
        <w:overflowPunct/>
        <w:topLinePunct w:val="0"/>
        <w:bidi w:val="0"/>
        <w:snapToGrid w:val="0"/>
        <w:spacing w:beforeAutospacing="0" w:afterAutospacing="0" w:line="360" w:lineRule="auto"/>
        <w:ind w:left="0" w:leftChars="0" w:right="0" w:rightChars="0" w:firstLine="0" w:firstLineChars="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color w:val="auto"/>
          <w:sz w:val="32"/>
          <w:szCs w:val="32"/>
          <w:lang w:val="en-US" w:eastAsia="zh-CN"/>
        </w:rPr>
        <w:t xml:space="preserve">    2017年保靖县纪委收入总计840.23万元，其中财政拨款收入741.28万元、其他收入98.95万元，其他收入主要为根据县委文件规定县直单位纪检组长（纪检员）公用经费由其单位转入县纪委统筹管理使用的资金。全年总支出</w:t>
      </w:r>
      <w:bookmarkEnd w:id="0"/>
      <w:r>
        <w:rPr>
          <w:rFonts w:hint="eastAsia" w:ascii="仿宋" w:hAnsi="仿宋" w:eastAsia="仿宋" w:cs="仿宋"/>
          <w:sz w:val="32"/>
          <w:szCs w:val="32"/>
          <w:lang w:val="en-US" w:eastAsia="zh-CN"/>
        </w:rPr>
        <w:t>757.41万元，其中基本支出717.41万元、项目支出40万元。本年末结转116.28万元。</w:t>
      </w:r>
    </w:p>
    <w:p>
      <w:pPr>
        <w:keepNext w:val="0"/>
        <w:keepLines w:val="0"/>
        <w:pageBreakBefore w:val="0"/>
        <w:widowControl w:val="0"/>
        <w:suppressLineNumbers w:val="0"/>
        <w:kinsoku/>
        <w:overflowPunct/>
        <w:topLinePunct w:val="0"/>
        <w:bidi w:val="0"/>
        <w:snapToGrid w:val="0"/>
        <w:spacing w:beforeAutospacing="0" w:afterAutospacing="0" w:line="360" w:lineRule="auto"/>
        <w:ind w:left="0" w:leftChars="0" w:right="0" w:rightChars="0" w:firstLine="0" w:firstLineChars="0"/>
        <w:jc w:val="both"/>
        <w:textAlignment w:val="auto"/>
        <w:rPr>
          <w:rFonts w:hint="eastAsia" w:ascii="仿宋" w:hAnsi="仿宋" w:eastAsia="仿宋" w:cs="仿宋"/>
          <w:sz w:val="32"/>
          <w:szCs w:val="32"/>
          <w:lang w:val="en-US"/>
        </w:rPr>
      </w:pPr>
      <w:r>
        <w:rPr>
          <w:rFonts w:hint="eastAsia" w:ascii="仿宋" w:hAnsi="仿宋" w:eastAsia="仿宋" w:cs="仿宋"/>
          <w:b/>
          <w:bCs w:val="0"/>
          <w:color w:val="333333"/>
          <w:kern w:val="2"/>
          <w:sz w:val="32"/>
          <w:szCs w:val="32"/>
          <w:lang w:val="en-US" w:eastAsia="zh-CN" w:bidi="ar"/>
        </w:rPr>
        <w:t xml:space="preserve">    </w:t>
      </w:r>
      <w:r>
        <w:rPr>
          <w:rFonts w:hint="eastAsia" w:ascii="黑体" w:hAnsi="黑体" w:eastAsia="黑体" w:cs="黑体"/>
          <w:b/>
          <w:bCs w:val="0"/>
          <w:color w:val="333333"/>
          <w:kern w:val="2"/>
          <w:sz w:val="32"/>
          <w:szCs w:val="32"/>
          <w:lang w:val="en-US" w:eastAsia="zh-CN" w:bidi="ar"/>
        </w:rPr>
        <w:t>三、“三公”经费情况说明</w:t>
      </w:r>
      <w:r>
        <w:rPr>
          <w:rFonts w:hint="eastAsia" w:ascii="仿宋" w:hAnsi="仿宋" w:eastAsia="仿宋" w:cs="仿宋"/>
          <w:kern w:val="2"/>
          <w:sz w:val="32"/>
          <w:szCs w:val="32"/>
          <w:lang w:val="en-US" w:eastAsia="zh-CN" w:bidi="ar"/>
        </w:rPr>
        <w:br w:type="textWrapping"/>
      </w:r>
      <w:r>
        <w:rPr>
          <w:rFonts w:hint="eastAsia" w:ascii="仿宋" w:hAnsi="仿宋" w:eastAsia="仿宋" w:cs="仿宋"/>
          <w:kern w:val="2"/>
          <w:sz w:val="32"/>
          <w:szCs w:val="32"/>
          <w:lang w:val="en-US" w:eastAsia="zh-CN" w:bidi="ar"/>
        </w:rPr>
        <w:t>     2017年</w:t>
      </w:r>
      <w:r>
        <w:rPr>
          <w:rFonts w:hint="eastAsia" w:ascii="仿宋" w:hAnsi="仿宋" w:eastAsia="仿宋" w:cs="仿宋"/>
          <w:sz w:val="32"/>
          <w:szCs w:val="32"/>
          <w:lang w:val="en-US" w:eastAsia="zh-CN"/>
        </w:rPr>
        <w:t>部门决算</w:t>
      </w:r>
      <w:r>
        <w:rPr>
          <w:rFonts w:hint="eastAsia" w:ascii="仿宋" w:hAnsi="仿宋" w:eastAsia="仿宋" w:cs="仿宋"/>
          <w:kern w:val="2"/>
          <w:sz w:val="32"/>
          <w:szCs w:val="32"/>
          <w:lang w:val="en-US" w:eastAsia="zh-CN" w:bidi="ar"/>
        </w:rPr>
        <w:t xml:space="preserve">“三公”经费19万元，比年初预算数20万元减少1万元。其中： </w:t>
      </w:r>
    </w:p>
    <w:p>
      <w:pPr>
        <w:keepNext w:val="0"/>
        <w:keepLines w:val="0"/>
        <w:pageBreakBefore w:val="0"/>
        <w:widowControl w:val="0"/>
        <w:suppressLineNumbers w:val="0"/>
        <w:kinsoku/>
        <w:overflowPunct/>
        <w:topLinePunct w:val="0"/>
        <w:bidi w:val="0"/>
        <w:snapToGrid w:val="0"/>
        <w:spacing w:beforeAutospacing="0" w:afterAutospacing="0" w:line="360" w:lineRule="auto"/>
        <w:ind w:left="0" w:leftChars="0" w:right="0" w:rightChars="0"/>
        <w:jc w:val="both"/>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 xml:space="preserve">    1、因公出国（境）费用0万元，比年初预算数增加0万元，比上年决算数减少0万元，本年无因公出国（境）。</w:t>
      </w:r>
    </w:p>
    <w:p>
      <w:pPr>
        <w:keepNext w:val="0"/>
        <w:keepLines w:val="0"/>
        <w:pageBreakBefore w:val="0"/>
        <w:widowControl w:val="0"/>
        <w:suppressLineNumbers w:val="0"/>
        <w:kinsoku/>
        <w:overflowPunct/>
        <w:topLinePunct w:val="0"/>
        <w:bidi w:val="0"/>
        <w:snapToGrid w:val="0"/>
        <w:spacing w:beforeAutospacing="0" w:afterAutospacing="0" w:line="360" w:lineRule="auto"/>
        <w:ind w:left="0" w:leftChars="0" w:right="0" w:rightChars="0"/>
        <w:jc w:val="both"/>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 xml:space="preserve">    2、公务用车运行维护9.86万元，比年初预算数10万元减少0.14万元，未超过年初预算数，主要原因是加强了单位内部车辆管理。</w:t>
      </w:r>
    </w:p>
    <w:p>
      <w:pPr>
        <w:keepNext w:val="0"/>
        <w:keepLines w:val="0"/>
        <w:pageBreakBefore w:val="0"/>
        <w:widowControl w:val="0"/>
        <w:suppressLineNumbers w:val="0"/>
        <w:kinsoku/>
        <w:overflowPunct/>
        <w:topLinePunct w:val="0"/>
        <w:bidi w:val="0"/>
        <w:snapToGrid w:val="0"/>
        <w:spacing w:beforeAutospacing="0" w:afterAutospacing="0" w:line="360" w:lineRule="auto"/>
        <w:ind w:left="0" w:leftChars="0" w:right="0" w:rightChars="0" w:firstLine="640" w:firstLineChars="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3、公务接待费9.14万元，比年初预算数10万元减少0.86万元，未超过年初预算数，主要原因是加强了单位公务接待管理。</w:t>
      </w:r>
    </w:p>
    <w:p>
      <w:pPr>
        <w:keepNext w:val="0"/>
        <w:keepLines w:val="0"/>
        <w:pageBreakBefore w:val="0"/>
        <w:widowControl w:val="0"/>
        <w:suppressLineNumbers w:val="0"/>
        <w:kinsoku/>
        <w:overflowPunct/>
        <w:topLinePunct w:val="0"/>
        <w:bidi w:val="0"/>
        <w:snapToGrid w:val="0"/>
        <w:spacing w:beforeAutospacing="0" w:afterAutospacing="0" w:line="360" w:lineRule="auto"/>
        <w:ind w:left="0" w:leftChars="0" w:right="0" w:rightChars="0" w:firstLine="640" w:firstLineChars="0"/>
        <w:jc w:val="both"/>
        <w:textAlignment w:val="auto"/>
        <w:rPr>
          <w:rFonts w:hint="eastAsia" w:ascii="仿宋" w:hAnsi="仿宋" w:eastAsia="仿宋" w:cs="仿宋"/>
          <w:kern w:val="2"/>
          <w:sz w:val="32"/>
          <w:szCs w:val="32"/>
          <w:lang w:val="en-US" w:eastAsia="zh-CN" w:bidi="ar"/>
        </w:rPr>
      </w:pPr>
    </w:p>
    <w:p>
      <w:pPr>
        <w:keepNext w:val="0"/>
        <w:keepLines w:val="0"/>
        <w:pageBreakBefore w:val="0"/>
        <w:widowControl w:val="0"/>
        <w:suppressLineNumbers w:val="0"/>
        <w:kinsoku/>
        <w:overflowPunct/>
        <w:topLinePunct w:val="0"/>
        <w:bidi w:val="0"/>
        <w:snapToGrid w:val="0"/>
        <w:spacing w:beforeAutospacing="0" w:afterAutospacing="0" w:line="360" w:lineRule="auto"/>
        <w:ind w:left="0" w:leftChars="0" w:right="0" w:rightChars="0"/>
        <w:jc w:val="both"/>
        <w:textAlignment w:val="auto"/>
        <w:rPr>
          <w:rFonts w:hint="eastAsia" w:ascii="黑体" w:hAnsi="黑体" w:eastAsia="黑体" w:cs="黑体"/>
          <w:b w:val="0"/>
          <w:i w:val="0"/>
          <w:caps w:val="0"/>
          <w:color w:val="010101"/>
          <w:spacing w:val="0"/>
          <w:sz w:val="32"/>
          <w:szCs w:val="32"/>
        </w:rPr>
      </w:pPr>
      <w:r>
        <w:rPr>
          <w:rStyle w:val="7"/>
          <w:rFonts w:hint="eastAsia" w:ascii="仿宋" w:hAnsi="仿宋" w:eastAsia="仿宋" w:cs="仿宋"/>
          <w:b/>
          <w:i w:val="0"/>
          <w:caps w:val="0"/>
          <w:color w:val="010101"/>
          <w:spacing w:val="0"/>
          <w:sz w:val="32"/>
          <w:szCs w:val="32"/>
          <w:lang w:val="en-US" w:eastAsia="zh-CN"/>
        </w:rPr>
        <w:t xml:space="preserve">   </w:t>
      </w:r>
      <w:r>
        <w:rPr>
          <w:rStyle w:val="7"/>
          <w:rFonts w:hint="eastAsia" w:ascii="黑体" w:hAnsi="黑体" w:eastAsia="黑体" w:cs="黑体"/>
          <w:b/>
          <w:i w:val="0"/>
          <w:caps w:val="0"/>
          <w:color w:val="010101"/>
          <w:spacing w:val="0"/>
          <w:sz w:val="32"/>
          <w:szCs w:val="32"/>
          <w:lang w:val="en-US" w:eastAsia="zh-CN"/>
        </w:rPr>
        <w:t xml:space="preserve"> </w:t>
      </w:r>
      <w:r>
        <w:rPr>
          <w:rStyle w:val="7"/>
          <w:rFonts w:hint="eastAsia" w:ascii="黑体" w:hAnsi="黑体" w:eastAsia="黑体" w:cs="黑体"/>
          <w:b/>
          <w:i w:val="0"/>
          <w:caps w:val="0"/>
          <w:color w:val="010101"/>
          <w:spacing w:val="0"/>
          <w:sz w:val="32"/>
          <w:szCs w:val="32"/>
          <w:lang w:eastAsia="zh-CN"/>
        </w:rPr>
        <w:t>四、</w:t>
      </w:r>
      <w:r>
        <w:rPr>
          <w:rStyle w:val="7"/>
          <w:rFonts w:hint="eastAsia" w:ascii="黑体" w:hAnsi="黑体" w:eastAsia="黑体" w:cs="黑体"/>
          <w:b/>
          <w:i w:val="0"/>
          <w:caps w:val="0"/>
          <w:color w:val="010101"/>
          <w:spacing w:val="0"/>
          <w:sz w:val="32"/>
          <w:szCs w:val="32"/>
        </w:rPr>
        <w:t>部门整体支出绩效情况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rightChars="0" w:firstLine="0"/>
        <w:jc w:val="left"/>
        <w:textAlignment w:val="auto"/>
        <w:outlineLvl w:val="9"/>
        <w:rPr>
          <w:rFonts w:hint="eastAsia" w:ascii="仿宋" w:hAnsi="仿宋" w:eastAsia="仿宋" w:cs="仿宋"/>
          <w:b w:val="0"/>
          <w:i w:val="0"/>
          <w:caps w:val="0"/>
          <w:color w:val="010101"/>
          <w:spacing w:val="0"/>
          <w:sz w:val="32"/>
          <w:szCs w:val="32"/>
        </w:rPr>
      </w:pPr>
      <w:r>
        <w:rPr>
          <w:rFonts w:hint="eastAsia" w:ascii="仿宋" w:hAnsi="仿宋" w:eastAsia="仿宋" w:cs="仿宋"/>
          <w:b w:val="0"/>
          <w:i w:val="0"/>
          <w:caps w:val="0"/>
          <w:color w:val="010101"/>
          <w:spacing w:val="0"/>
          <w:sz w:val="32"/>
          <w:szCs w:val="32"/>
        </w:rPr>
        <w:t>　　</w:t>
      </w:r>
      <w:r>
        <w:rPr>
          <w:rFonts w:hint="eastAsia" w:ascii="仿宋" w:hAnsi="仿宋" w:eastAsia="仿宋" w:cs="仿宋"/>
          <w:b w:val="0"/>
          <w:i w:val="0"/>
          <w:caps w:val="0"/>
          <w:color w:val="010101"/>
          <w:spacing w:val="0"/>
          <w:sz w:val="32"/>
          <w:szCs w:val="32"/>
          <w:lang w:val="en-US"/>
        </w:rPr>
        <w:t>201</w:t>
      </w:r>
      <w:r>
        <w:rPr>
          <w:rFonts w:hint="eastAsia" w:ascii="仿宋" w:hAnsi="仿宋" w:eastAsia="仿宋" w:cs="仿宋"/>
          <w:b w:val="0"/>
          <w:i w:val="0"/>
          <w:caps w:val="0"/>
          <w:color w:val="010101"/>
          <w:spacing w:val="0"/>
          <w:sz w:val="32"/>
          <w:szCs w:val="32"/>
          <w:lang w:val="en-US" w:eastAsia="zh-CN"/>
        </w:rPr>
        <w:t>7</w:t>
      </w:r>
      <w:r>
        <w:rPr>
          <w:rFonts w:hint="eastAsia" w:ascii="仿宋" w:hAnsi="仿宋" w:eastAsia="仿宋" w:cs="仿宋"/>
          <w:b w:val="0"/>
          <w:i w:val="0"/>
          <w:caps w:val="0"/>
          <w:color w:val="010101"/>
          <w:spacing w:val="0"/>
          <w:sz w:val="32"/>
          <w:szCs w:val="32"/>
        </w:rPr>
        <w:t>年，根据</w:t>
      </w:r>
      <w:r>
        <w:rPr>
          <w:rFonts w:hint="eastAsia" w:ascii="仿宋" w:hAnsi="仿宋" w:eastAsia="仿宋" w:cs="仿宋"/>
          <w:b w:val="0"/>
          <w:i w:val="0"/>
          <w:caps w:val="0"/>
          <w:color w:val="010101"/>
          <w:spacing w:val="0"/>
          <w:sz w:val="32"/>
          <w:szCs w:val="32"/>
          <w:lang w:eastAsia="zh-CN"/>
        </w:rPr>
        <w:t>单位</w:t>
      </w:r>
      <w:r>
        <w:rPr>
          <w:rFonts w:hint="eastAsia" w:ascii="仿宋" w:hAnsi="仿宋" w:eastAsia="仿宋" w:cs="仿宋"/>
          <w:b w:val="0"/>
          <w:i w:val="0"/>
          <w:caps w:val="0"/>
          <w:color w:val="010101"/>
          <w:spacing w:val="0"/>
          <w:sz w:val="32"/>
          <w:szCs w:val="32"/>
        </w:rPr>
        <w:t>年初工作规划和重点性工作，积极履职，强化管理，较好的完成了年度工作目标。通过加强预算收支的管理，不断建立健全内部管理制度，理顺内部管理流程，部门整体支出管理情况得到了提升。部门整体支出绩效情况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left="0" w:leftChars="0" w:right="0" w:rightChars="0" w:firstLine="0"/>
        <w:jc w:val="left"/>
        <w:textAlignment w:val="auto"/>
        <w:rPr>
          <w:rFonts w:hint="eastAsia" w:ascii="仿宋" w:hAnsi="仿宋" w:eastAsia="仿宋" w:cs="仿宋"/>
          <w:b w:val="0"/>
          <w:i w:val="0"/>
          <w:caps w:val="0"/>
          <w:color w:val="010101"/>
          <w:spacing w:val="0"/>
          <w:sz w:val="32"/>
          <w:szCs w:val="32"/>
        </w:rPr>
      </w:pPr>
      <w:r>
        <w:rPr>
          <w:rFonts w:hint="eastAsia" w:ascii="仿宋" w:hAnsi="仿宋" w:eastAsia="仿宋" w:cs="仿宋"/>
          <w:b w:val="0"/>
          <w:i w:val="0"/>
          <w:caps w:val="0"/>
          <w:color w:val="010101"/>
          <w:spacing w:val="0"/>
          <w:sz w:val="32"/>
          <w:szCs w:val="32"/>
        </w:rPr>
        <w:t>　</w:t>
      </w:r>
      <w:r>
        <w:rPr>
          <w:rFonts w:hint="eastAsia" w:ascii="仿宋" w:hAnsi="仿宋" w:eastAsia="仿宋" w:cs="仿宋"/>
          <w:b/>
          <w:bCs/>
          <w:i w:val="0"/>
          <w:caps w:val="0"/>
          <w:color w:val="010101"/>
          <w:spacing w:val="0"/>
          <w:sz w:val="32"/>
          <w:szCs w:val="32"/>
        </w:rPr>
        <w:t>　</w:t>
      </w:r>
      <w:r>
        <w:rPr>
          <w:rFonts w:hint="eastAsia" w:ascii="仿宋" w:hAnsi="仿宋" w:eastAsia="仿宋" w:cs="仿宋"/>
          <w:b/>
          <w:bCs/>
          <w:i w:val="0"/>
          <w:caps w:val="0"/>
          <w:color w:val="010101"/>
          <w:spacing w:val="0"/>
          <w:sz w:val="32"/>
          <w:szCs w:val="32"/>
          <w:lang w:val="en-US"/>
        </w:rPr>
        <w:t>（一）</w:t>
      </w:r>
      <w:r>
        <w:rPr>
          <w:rFonts w:hint="eastAsia" w:ascii="仿宋" w:hAnsi="仿宋" w:eastAsia="仿宋" w:cs="仿宋"/>
          <w:b/>
          <w:bCs/>
          <w:i w:val="0"/>
          <w:caps w:val="0"/>
          <w:color w:val="010101"/>
          <w:spacing w:val="0"/>
          <w:sz w:val="32"/>
          <w:szCs w:val="32"/>
          <w:lang w:eastAsia="zh-CN"/>
        </w:rPr>
        <w:t>投入</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leftChars="100" w:right="0" w:rightChars="0" w:firstLine="640" w:firstLineChars="200"/>
        <w:jc w:val="left"/>
        <w:textAlignment w:val="auto"/>
        <w:rPr>
          <w:rFonts w:hint="eastAsia" w:ascii="仿宋" w:hAnsi="仿宋" w:eastAsia="仿宋" w:cs="仿宋"/>
          <w:b w:val="0"/>
          <w:i w:val="0"/>
          <w:caps w:val="0"/>
          <w:color w:val="010101"/>
          <w:spacing w:val="0"/>
          <w:sz w:val="32"/>
          <w:szCs w:val="32"/>
          <w:lang w:val="en-US" w:eastAsia="zh-CN"/>
        </w:rPr>
      </w:pPr>
      <w:r>
        <w:rPr>
          <w:rFonts w:hint="eastAsia" w:ascii="仿宋" w:hAnsi="仿宋" w:eastAsia="仿宋" w:cs="仿宋"/>
          <w:b w:val="0"/>
          <w:i w:val="0"/>
          <w:caps w:val="0"/>
          <w:color w:val="010101"/>
          <w:spacing w:val="0"/>
          <w:sz w:val="32"/>
          <w:szCs w:val="32"/>
          <w:lang w:val="en-US" w:eastAsia="zh-CN"/>
        </w:rPr>
        <w:t>1、目标设定：</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right="0" w:rightChars="0" w:firstLine="640" w:firstLineChars="200"/>
        <w:jc w:val="left"/>
        <w:textAlignment w:val="auto"/>
        <w:rPr>
          <w:rFonts w:hint="eastAsia" w:ascii="仿宋" w:hAnsi="仿宋" w:eastAsia="仿宋" w:cs="仿宋"/>
          <w:b w:val="0"/>
          <w:i w:val="0"/>
          <w:caps w:val="0"/>
          <w:color w:val="010101"/>
          <w:spacing w:val="0"/>
          <w:sz w:val="32"/>
          <w:szCs w:val="32"/>
          <w:lang w:val="en-US" w:eastAsia="zh-CN"/>
        </w:rPr>
      </w:pPr>
      <w:r>
        <w:rPr>
          <w:rFonts w:hint="eastAsia" w:ascii="仿宋" w:hAnsi="仿宋" w:eastAsia="仿宋" w:cs="仿宋"/>
          <w:b w:val="0"/>
          <w:i w:val="0"/>
          <w:caps w:val="0"/>
          <w:color w:val="010101"/>
          <w:spacing w:val="0"/>
          <w:sz w:val="32"/>
          <w:szCs w:val="32"/>
          <w:lang w:val="en-US" w:eastAsia="zh-CN"/>
        </w:rPr>
        <w:t>（1）本部门在2016年总结中制定了下年工作计划、设立了整体绩效目标，此目标符合国家法律法规、国民经济和社会发展总体规划，符合部门“三定”方案确定的职责，符合本部门制定的中长期限实施规划，</w:t>
      </w:r>
      <w:r>
        <w:rPr>
          <w:rFonts w:hint="eastAsia" w:ascii="仿宋" w:hAnsi="仿宋" w:eastAsia="仿宋" w:cs="仿宋"/>
          <w:b w:val="0"/>
          <w:bCs w:val="0"/>
          <w:i w:val="0"/>
          <w:caps w:val="0"/>
          <w:color w:val="010101"/>
          <w:spacing w:val="0"/>
          <w:sz w:val="32"/>
          <w:szCs w:val="32"/>
          <w:lang w:val="en-US" w:eastAsia="zh-CN"/>
        </w:rPr>
        <w:t>根据评分标准该项得分3分；</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right="0" w:rightChars="0" w:firstLine="640" w:firstLineChars="200"/>
        <w:jc w:val="left"/>
        <w:textAlignment w:val="auto"/>
        <w:rPr>
          <w:rFonts w:hint="eastAsia" w:ascii="仿宋" w:hAnsi="仿宋" w:eastAsia="仿宋" w:cs="仿宋"/>
          <w:b w:val="0"/>
          <w:i w:val="0"/>
          <w:caps w:val="0"/>
          <w:color w:val="010101"/>
          <w:spacing w:val="0"/>
          <w:sz w:val="32"/>
          <w:szCs w:val="32"/>
          <w:lang w:val="en-US" w:eastAsia="zh-CN"/>
        </w:rPr>
      </w:pPr>
      <w:r>
        <w:rPr>
          <w:rFonts w:hint="eastAsia" w:ascii="仿宋" w:hAnsi="仿宋" w:eastAsia="仿宋" w:cs="仿宋"/>
          <w:b w:val="0"/>
          <w:i w:val="0"/>
          <w:caps w:val="0"/>
          <w:color w:val="010101"/>
          <w:spacing w:val="0"/>
          <w:sz w:val="32"/>
          <w:szCs w:val="32"/>
          <w:lang w:val="en-US" w:eastAsia="zh-CN"/>
        </w:rPr>
        <w:t>（2）绩效指标细化、与本部门任务数、预算资金相匹配，具有可行性，</w:t>
      </w:r>
      <w:r>
        <w:rPr>
          <w:rFonts w:hint="eastAsia" w:ascii="仿宋" w:hAnsi="仿宋" w:eastAsia="仿宋" w:cs="仿宋"/>
          <w:b w:val="0"/>
          <w:bCs w:val="0"/>
          <w:i w:val="0"/>
          <w:caps w:val="0"/>
          <w:color w:val="010101"/>
          <w:spacing w:val="0"/>
          <w:sz w:val="32"/>
          <w:szCs w:val="32"/>
          <w:lang w:val="en-US" w:eastAsia="zh-CN"/>
        </w:rPr>
        <w:t>根据评分标准该项得分3分</w:t>
      </w:r>
      <w:r>
        <w:rPr>
          <w:rFonts w:hint="eastAsia" w:ascii="仿宋" w:hAnsi="仿宋" w:eastAsia="仿宋" w:cs="仿宋"/>
          <w:b w:val="0"/>
          <w:i w:val="0"/>
          <w:caps w:val="0"/>
          <w:color w:val="010101"/>
          <w:spacing w:val="0"/>
          <w:sz w:val="32"/>
          <w:szCs w:val="32"/>
          <w:lang w:val="en-US" w:eastAsia="zh-CN"/>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leftChars="100" w:right="0" w:rightChars="0" w:firstLine="640" w:firstLineChars="200"/>
        <w:jc w:val="left"/>
        <w:textAlignment w:val="auto"/>
        <w:rPr>
          <w:rFonts w:hint="eastAsia" w:ascii="仿宋" w:hAnsi="仿宋" w:eastAsia="仿宋" w:cs="仿宋"/>
          <w:b w:val="0"/>
          <w:i w:val="0"/>
          <w:caps w:val="0"/>
          <w:color w:val="010101"/>
          <w:spacing w:val="0"/>
          <w:sz w:val="32"/>
          <w:szCs w:val="32"/>
          <w:lang w:val="en-US" w:eastAsia="zh-CN"/>
        </w:rPr>
      </w:pPr>
      <w:r>
        <w:rPr>
          <w:rFonts w:hint="eastAsia" w:ascii="仿宋" w:hAnsi="仿宋" w:eastAsia="仿宋" w:cs="仿宋"/>
          <w:b w:val="0"/>
          <w:i w:val="0"/>
          <w:caps w:val="0"/>
          <w:color w:val="010101"/>
          <w:spacing w:val="0"/>
          <w:sz w:val="32"/>
          <w:szCs w:val="32"/>
          <w:lang w:val="en-US" w:eastAsia="zh-CN"/>
        </w:rPr>
        <w:t>2、预算配置</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right="0" w:rightChars="0" w:firstLine="640" w:firstLineChars="200"/>
        <w:jc w:val="left"/>
        <w:textAlignment w:val="auto"/>
        <w:rPr>
          <w:rFonts w:hint="eastAsia" w:ascii="仿宋" w:hAnsi="仿宋" w:eastAsia="仿宋" w:cs="仿宋"/>
          <w:b w:val="0"/>
          <w:i w:val="0"/>
          <w:caps w:val="0"/>
          <w:color w:val="010101"/>
          <w:spacing w:val="0"/>
          <w:sz w:val="32"/>
          <w:szCs w:val="32"/>
          <w:lang w:val="en-US" w:eastAsia="zh-CN"/>
        </w:rPr>
      </w:pPr>
      <w:r>
        <w:rPr>
          <w:rFonts w:hint="eastAsia" w:ascii="仿宋" w:hAnsi="仿宋" w:eastAsia="仿宋" w:cs="仿宋"/>
          <w:b w:val="0"/>
          <w:i w:val="0"/>
          <w:caps w:val="0"/>
          <w:color w:val="010101"/>
          <w:spacing w:val="0"/>
          <w:sz w:val="32"/>
          <w:szCs w:val="32"/>
          <w:lang w:val="en-US" w:eastAsia="zh-CN"/>
        </w:rPr>
        <w:t>（1）2017年末实有在职人员63人，编办核定编制78个，在职人员控制率为63/78*100%=80.77%</w:t>
      </w:r>
      <w:r>
        <w:rPr>
          <w:rFonts w:hint="default" w:ascii="Arial" w:hAnsi="Arial" w:eastAsia="仿宋" w:cs="Arial"/>
          <w:b w:val="0"/>
          <w:i w:val="0"/>
          <w:caps w:val="0"/>
          <w:color w:val="010101"/>
          <w:spacing w:val="0"/>
          <w:sz w:val="32"/>
          <w:szCs w:val="32"/>
          <w:lang w:val="en-US" w:eastAsia="zh-CN"/>
        </w:rPr>
        <w:t>≤</w:t>
      </w:r>
      <w:r>
        <w:rPr>
          <w:rFonts w:hint="eastAsia" w:ascii="仿宋" w:hAnsi="仿宋" w:eastAsia="仿宋" w:cs="仿宋"/>
          <w:b w:val="0"/>
          <w:i w:val="0"/>
          <w:caps w:val="0"/>
          <w:color w:val="010101"/>
          <w:spacing w:val="0"/>
          <w:sz w:val="32"/>
          <w:szCs w:val="32"/>
          <w:lang w:val="en-US" w:eastAsia="zh-CN"/>
        </w:rPr>
        <w:t>100%，</w:t>
      </w:r>
      <w:r>
        <w:rPr>
          <w:rFonts w:hint="eastAsia" w:ascii="仿宋" w:hAnsi="仿宋" w:eastAsia="仿宋" w:cs="仿宋"/>
          <w:b w:val="0"/>
          <w:bCs w:val="0"/>
          <w:i w:val="0"/>
          <w:caps w:val="0"/>
          <w:color w:val="010101"/>
          <w:spacing w:val="0"/>
          <w:sz w:val="32"/>
          <w:szCs w:val="32"/>
          <w:lang w:val="en-US" w:eastAsia="zh-CN"/>
        </w:rPr>
        <w:t>根据评分标准该项得分3分；</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right="0" w:rightChars="0" w:firstLine="640" w:firstLineChars="200"/>
        <w:jc w:val="left"/>
        <w:textAlignment w:val="auto"/>
        <w:rPr>
          <w:rFonts w:hint="eastAsia" w:ascii="仿宋" w:hAnsi="仿宋" w:eastAsia="仿宋" w:cs="仿宋"/>
          <w:b w:val="0"/>
          <w:i w:val="0"/>
          <w:caps w:val="0"/>
          <w:color w:val="010101"/>
          <w:spacing w:val="0"/>
          <w:sz w:val="32"/>
          <w:szCs w:val="32"/>
          <w:lang w:val="en-US"/>
        </w:rPr>
      </w:pPr>
      <w:r>
        <w:rPr>
          <w:rFonts w:hint="eastAsia" w:ascii="仿宋" w:hAnsi="仿宋" w:eastAsia="仿宋" w:cs="仿宋"/>
          <w:b w:val="0"/>
          <w:i w:val="0"/>
          <w:caps w:val="0"/>
          <w:color w:val="010101"/>
          <w:spacing w:val="0"/>
          <w:sz w:val="32"/>
          <w:szCs w:val="32"/>
          <w:lang w:val="en-US" w:eastAsia="zh-CN"/>
        </w:rPr>
        <w:t>（2）本年度“三公经费”预算数20万元，上年度“三公经费”预算数20万元，“三公经费”变动率为0，</w:t>
      </w:r>
      <w:r>
        <w:rPr>
          <w:rFonts w:hint="eastAsia" w:ascii="仿宋" w:hAnsi="仿宋" w:eastAsia="仿宋" w:cs="仿宋"/>
          <w:b w:val="0"/>
          <w:bCs w:val="0"/>
          <w:i w:val="0"/>
          <w:caps w:val="0"/>
          <w:color w:val="010101"/>
          <w:spacing w:val="0"/>
          <w:sz w:val="32"/>
          <w:szCs w:val="32"/>
          <w:lang w:val="en-US" w:eastAsia="zh-CN"/>
        </w:rPr>
        <w:t>根据评分标准该项得分4分</w:t>
      </w:r>
      <w:r>
        <w:rPr>
          <w:rFonts w:hint="eastAsia" w:ascii="仿宋" w:hAnsi="仿宋" w:eastAsia="仿宋" w:cs="仿宋"/>
          <w:b w:val="0"/>
          <w:i w:val="0"/>
          <w:caps w:val="0"/>
          <w:color w:val="010101"/>
          <w:spacing w:val="0"/>
          <w:sz w:val="32"/>
          <w:szCs w:val="32"/>
          <w:lang w:val="en-US" w:eastAsia="zh-CN"/>
        </w:rPr>
        <w:t>。</w:t>
      </w:r>
      <w:r>
        <w:rPr>
          <w:rFonts w:hint="eastAsia" w:ascii="仿宋" w:hAnsi="仿宋" w:eastAsia="仿宋" w:cs="仿宋"/>
          <w:b w:val="0"/>
          <w:i w:val="0"/>
          <w:caps w:val="0"/>
          <w:color w:val="010101"/>
          <w:spacing w:val="0"/>
          <w:sz w:val="32"/>
          <w:szCs w:val="32"/>
        </w:rPr>
        <w:t>　　</w:t>
      </w:r>
      <w:r>
        <w:rPr>
          <w:rFonts w:hint="eastAsia" w:ascii="仿宋" w:hAnsi="仿宋" w:eastAsia="仿宋" w:cs="仿宋"/>
          <w:b w:val="0"/>
          <w:i w:val="0"/>
          <w:caps w:val="0"/>
          <w:color w:val="010101"/>
          <w:spacing w:val="0"/>
          <w:sz w:val="32"/>
          <w:szCs w:val="32"/>
          <w:lang w:val="en-US"/>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right="0" w:rightChars="0" w:firstLine="643" w:firstLineChars="200"/>
        <w:jc w:val="left"/>
        <w:textAlignment w:val="auto"/>
        <w:rPr>
          <w:rFonts w:hint="eastAsia" w:ascii="仿宋" w:hAnsi="仿宋" w:eastAsia="仿宋" w:cs="仿宋"/>
          <w:b/>
          <w:bCs/>
          <w:i w:val="0"/>
          <w:caps w:val="0"/>
          <w:color w:val="010101"/>
          <w:spacing w:val="0"/>
          <w:sz w:val="32"/>
          <w:szCs w:val="32"/>
          <w:lang w:val="en-US" w:eastAsia="zh-CN"/>
        </w:rPr>
      </w:pPr>
      <w:r>
        <w:rPr>
          <w:rFonts w:hint="eastAsia" w:ascii="仿宋" w:hAnsi="仿宋" w:eastAsia="仿宋" w:cs="仿宋"/>
          <w:b/>
          <w:bCs/>
          <w:i w:val="0"/>
          <w:caps w:val="0"/>
          <w:color w:val="010101"/>
          <w:spacing w:val="0"/>
          <w:sz w:val="32"/>
          <w:szCs w:val="32"/>
          <w:lang w:val="en-US"/>
        </w:rPr>
        <w:t>（二）</w:t>
      </w:r>
      <w:r>
        <w:rPr>
          <w:rFonts w:hint="eastAsia" w:ascii="仿宋" w:hAnsi="仿宋" w:eastAsia="仿宋" w:cs="仿宋"/>
          <w:b/>
          <w:bCs/>
          <w:i w:val="0"/>
          <w:caps w:val="0"/>
          <w:color w:val="010101"/>
          <w:spacing w:val="0"/>
          <w:sz w:val="32"/>
          <w:szCs w:val="32"/>
          <w:lang w:val="en-US" w:eastAsia="zh-CN"/>
        </w:rPr>
        <w:t>过程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left="0" w:leftChars="0" w:right="0" w:rightChars="0" w:firstLine="640" w:firstLineChars="0"/>
        <w:jc w:val="left"/>
        <w:textAlignment w:val="auto"/>
        <w:rPr>
          <w:rFonts w:hint="eastAsia" w:ascii="仿宋" w:hAnsi="仿宋" w:eastAsia="仿宋" w:cs="仿宋"/>
          <w:b w:val="0"/>
          <w:i w:val="0"/>
          <w:caps w:val="0"/>
          <w:color w:val="010101"/>
          <w:spacing w:val="0"/>
          <w:sz w:val="32"/>
          <w:szCs w:val="32"/>
          <w:lang w:eastAsia="zh-CN"/>
        </w:rPr>
      </w:pPr>
      <w:r>
        <w:rPr>
          <w:rFonts w:hint="eastAsia" w:ascii="仿宋" w:hAnsi="仿宋" w:eastAsia="仿宋" w:cs="仿宋"/>
          <w:b w:val="0"/>
          <w:i w:val="0"/>
          <w:caps w:val="0"/>
          <w:color w:val="010101"/>
          <w:spacing w:val="0"/>
          <w:sz w:val="32"/>
          <w:szCs w:val="32"/>
        </w:rPr>
        <w:t>为强化部门整体支出，加强国有资产管理，提高资金使用效益，提升财务管理，建立节约型机关，</w:t>
      </w:r>
      <w:r>
        <w:rPr>
          <w:rFonts w:hint="eastAsia" w:ascii="仿宋" w:hAnsi="仿宋" w:eastAsia="仿宋" w:cs="仿宋"/>
          <w:b w:val="0"/>
          <w:i w:val="0"/>
          <w:caps w:val="0"/>
          <w:color w:val="010101"/>
          <w:spacing w:val="0"/>
          <w:sz w:val="32"/>
          <w:szCs w:val="32"/>
          <w:lang w:val="en-US"/>
        </w:rPr>
        <w:t>201</w:t>
      </w:r>
      <w:r>
        <w:rPr>
          <w:rFonts w:hint="eastAsia" w:ascii="仿宋" w:hAnsi="仿宋" w:eastAsia="仿宋" w:cs="仿宋"/>
          <w:b w:val="0"/>
          <w:i w:val="0"/>
          <w:caps w:val="0"/>
          <w:color w:val="010101"/>
          <w:spacing w:val="0"/>
          <w:sz w:val="32"/>
          <w:szCs w:val="32"/>
          <w:lang w:val="en-US" w:eastAsia="zh-CN"/>
        </w:rPr>
        <w:t>7</w:t>
      </w:r>
      <w:r>
        <w:rPr>
          <w:rFonts w:hint="eastAsia" w:ascii="仿宋" w:hAnsi="仿宋" w:eastAsia="仿宋" w:cs="仿宋"/>
          <w:b w:val="0"/>
          <w:i w:val="0"/>
          <w:caps w:val="0"/>
          <w:color w:val="010101"/>
          <w:spacing w:val="0"/>
          <w:sz w:val="32"/>
          <w:szCs w:val="32"/>
        </w:rPr>
        <w:t>年我</w:t>
      </w:r>
      <w:r>
        <w:rPr>
          <w:rFonts w:hint="eastAsia" w:ascii="仿宋" w:hAnsi="仿宋" w:eastAsia="仿宋" w:cs="仿宋"/>
          <w:b w:val="0"/>
          <w:i w:val="0"/>
          <w:caps w:val="0"/>
          <w:color w:val="010101"/>
          <w:spacing w:val="0"/>
          <w:sz w:val="32"/>
          <w:szCs w:val="32"/>
          <w:lang w:eastAsia="zh-CN"/>
        </w:rPr>
        <w:t>委局</w:t>
      </w:r>
      <w:r>
        <w:rPr>
          <w:rFonts w:hint="eastAsia" w:ascii="仿宋" w:hAnsi="仿宋" w:eastAsia="仿宋" w:cs="仿宋"/>
          <w:b w:val="0"/>
          <w:i w:val="0"/>
          <w:caps w:val="0"/>
          <w:color w:val="010101"/>
          <w:spacing w:val="0"/>
          <w:sz w:val="32"/>
          <w:szCs w:val="32"/>
        </w:rPr>
        <w:t>在强化业务管理、财务管理和厉行节约方面开展了大量工作，行政效能显著。在原有相对健全的财务管理制度基础上，适时地、针对性的进行了相关制度的</w:t>
      </w:r>
      <w:r>
        <w:rPr>
          <w:rFonts w:hint="eastAsia" w:ascii="仿宋" w:hAnsi="仿宋" w:eastAsia="仿宋" w:cs="仿宋"/>
          <w:b w:val="0"/>
          <w:i w:val="0"/>
          <w:caps w:val="0"/>
          <w:color w:val="010101"/>
          <w:spacing w:val="0"/>
          <w:sz w:val="32"/>
          <w:szCs w:val="32"/>
          <w:lang w:eastAsia="zh-CN"/>
        </w:rPr>
        <w:t>讨论修改</w:t>
      </w:r>
      <w:r>
        <w:rPr>
          <w:rFonts w:hint="eastAsia" w:ascii="仿宋" w:hAnsi="仿宋" w:eastAsia="仿宋" w:cs="仿宋"/>
          <w:b w:val="0"/>
          <w:i w:val="0"/>
          <w:caps w:val="0"/>
          <w:color w:val="010101"/>
          <w:spacing w:val="0"/>
          <w:sz w:val="32"/>
          <w:szCs w:val="32"/>
        </w:rPr>
        <w:t>，制度的建立更为完善。如：本年制定了《</w:t>
      </w:r>
      <w:r>
        <w:rPr>
          <w:rFonts w:hint="eastAsia" w:ascii="仿宋" w:hAnsi="仿宋" w:eastAsia="仿宋" w:cs="仿宋"/>
          <w:b w:val="0"/>
          <w:i w:val="0"/>
          <w:caps w:val="0"/>
          <w:color w:val="010101"/>
          <w:spacing w:val="0"/>
          <w:sz w:val="32"/>
          <w:szCs w:val="32"/>
          <w:lang w:eastAsia="zh-CN"/>
        </w:rPr>
        <w:t>财务管理制度</w:t>
      </w:r>
      <w:r>
        <w:rPr>
          <w:rFonts w:hint="eastAsia" w:ascii="仿宋" w:hAnsi="仿宋" w:eastAsia="仿宋" w:cs="仿宋"/>
          <w:b w:val="0"/>
          <w:i w:val="0"/>
          <w:caps w:val="0"/>
          <w:color w:val="010101"/>
          <w:spacing w:val="0"/>
          <w:sz w:val="32"/>
          <w:szCs w:val="32"/>
        </w:rPr>
        <w:t>》、</w:t>
      </w:r>
      <w:r>
        <w:rPr>
          <w:rFonts w:hint="eastAsia" w:ascii="仿宋" w:hAnsi="仿宋" w:eastAsia="仿宋" w:cs="仿宋"/>
          <w:b w:val="0"/>
          <w:i w:val="0"/>
          <w:caps w:val="0"/>
          <w:color w:val="010101"/>
          <w:spacing w:val="0"/>
          <w:sz w:val="32"/>
          <w:szCs w:val="32"/>
          <w:lang w:eastAsia="zh-CN"/>
        </w:rPr>
        <w:t>《会计核算制度》《车辆管理办法》、《厉行节约制度》等</w:t>
      </w:r>
      <w:r>
        <w:rPr>
          <w:rFonts w:hint="eastAsia" w:ascii="仿宋" w:hAnsi="仿宋" w:eastAsia="仿宋" w:cs="仿宋"/>
          <w:kern w:val="2"/>
          <w:sz w:val="32"/>
          <w:szCs w:val="32"/>
          <w:lang w:val="en-US" w:eastAsia="zh-CN" w:bidi="ar"/>
        </w:rPr>
        <w:t>。</w:t>
      </w:r>
      <w:r>
        <w:rPr>
          <w:rFonts w:hint="eastAsia" w:ascii="仿宋" w:hAnsi="仿宋" w:eastAsia="仿宋" w:cs="仿宋"/>
          <w:b w:val="0"/>
          <w:i w:val="0"/>
          <w:caps w:val="0"/>
          <w:color w:val="010101"/>
          <w:spacing w:val="0"/>
          <w:sz w:val="32"/>
          <w:szCs w:val="32"/>
        </w:rPr>
        <w:t>重视制度的学习和宣</w:t>
      </w:r>
      <w:r>
        <w:rPr>
          <w:rFonts w:hint="eastAsia" w:ascii="仿宋" w:hAnsi="仿宋" w:eastAsia="仿宋" w:cs="仿宋"/>
          <w:b w:val="0"/>
          <w:i w:val="0"/>
          <w:caps w:val="0"/>
          <w:color w:val="010101"/>
          <w:spacing w:val="0"/>
          <w:sz w:val="32"/>
          <w:szCs w:val="32"/>
          <w:lang w:eastAsia="zh-CN"/>
        </w:rPr>
        <w:t>传</w:t>
      </w:r>
      <w:r>
        <w:rPr>
          <w:rFonts w:hint="eastAsia" w:ascii="仿宋" w:hAnsi="仿宋" w:eastAsia="仿宋" w:cs="仿宋"/>
          <w:b w:val="0"/>
          <w:i w:val="0"/>
          <w:caps w:val="0"/>
          <w:color w:val="010101"/>
          <w:spacing w:val="0"/>
          <w:sz w:val="32"/>
          <w:szCs w:val="32"/>
        </w:rPr>
        <w:t>工作，并已逐步形成了崇尚厉行节约反对浪费的机关文化。根据中央、湖南省人民政府下发的《党政机关厉行节约反对浪费条例》、《湖南省党政机关国内公务接待管理办法》、《关于厉行节约反对浪费的实施意见》、《关于党政机关停止新建楼堂馆所和清理办公用房的实施意见》、《关于贯彻落实中央纪委要求严禁公款购买印刷寄送贺年卡等物品的通知》等一系列文件精神，及时将上述文件精神组织机关人员学习，将厉行节约反对浪费教育作为机关作风建设的重要内容，极大强化了机关厉行节约管理意识。建立了经费支出定期汇报和公示机制，经费支出的公开透明性得到提高。除按照财政要求对部门预算、“三公”经费进行例行公示外，根据经费支出情况，定期进行经费支出财务统计和分析，并及时向分管领导</w:t>
      </w:r>
      <w:r>
        <w:rPr>
          <w:rFonts w:hint="eastAsia" w:ascii="仿宋" w:hAnsi="仿宋" w:eastAsia="仿宋" w:cs="仿宋"/>
          <w:b w:val="0"/>
          <w:i w:val="0"/>
          <w:caps w:val="0"/>
          <w:color w:val="010101"/>
          <w:spacing w:val="0"/>
          <w:sz w:val="32"/>
          <w:szCs w:val="32"/>
          <w:lang w:eastAsia="zh-CN"/>
        </w:rPr>
        <w:t>和单位主要负责人</w:t>
      </w:r>
      <w:r>
        <w:rPr>
          <w:rFonts w:hint="eastAsia" w:ascii="仿宋" w:hAnsi="仿宋" w:eastAsia="仿宋" w:cs="仿宋"/>
          <w:b w:val="0"/>
          <w:i w:val="0"/>
          <w:caps w:val="0"/>
          <w:color w:val="010101"/>
          <w:spacing w:val="0"/>
          <w:sz w:val="32"/>
          <w:szCs w:val="32"/>
        </w:rPr>
        <w:t>进行汇报，对经费支出的管理状况提出建设性的意见</w:t>
      </w:r>
      <w:r>
        <w:rPr>
          <w:rFonts w:hint="eastAsia" w:ascii="仿宋" w:hAnsi="仿宋" w:eastAsia="仿宋" w:cs="仿宋"/>
          <w:b w:val="0"/>
          <w:i w:val="0"/>
          <w:caps w:val="0"/>
          <w:color w:val="010101"/>
          <w:spacing w:val="0"/>
          <w:sz w:val="32"/>
          <w:szCs w:val="32"/>
          <w:lang w:eastAsia="zh-CN"/>
        </w:rPr>
        <w:t>，</w:t>
      </w:r>
      <w:r>
        <w:rPr>
          <w:rFonts w:hint="eastAsia" w:ascii="仿宋" w:hAnsi="仿宋" w:eastAsia="仿宋" w:cs="仿宋"/>
          <w:b w:val="0"/>
          <w:i w:val="0"/>
          <w:caps w:val="0"/>
          <w:color w:val="010101"/>
          <w:spacing w:val="0"/>
          <w:sz w:val="32"/>
          <w:szCs w:val="32"/>
        </w:rPr>
        <w:t>使各项经费管理和监督发挥了较好的作用</w:t>
      </w:r>
      <w:r>
        <w:rPr>
          <w:rFonts w:hint="eastAsia" w:ascii="仿宋" w:hAnsi="仿宋" w:eastAsia="仿宋" w:cs="仿宋"/>
          <w:b w:val="0"/>
          <w:i w:val="0"/>
          <w:caps w:val="0"/>
          <w:color w:val="010101"/>
          <w:spacing w:val="0"/>
          <w:sz w:val="32"/>
          <w:szCs w:val="32"/>
          <w:lang w:eastAsia="zh-CN"/>
        </w:rPr>
        <w:t>。</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left="0" w:leftChars="0" w:right="0" w:rightChars="0" w:firstLine="640" w:firstLineChars="0"/>
        <w:jc w:val="left"/>
        <w:textAlignment w:val="auto"/>
        <w:rPr>
          <w:rFonts w:hint="eastAsia" w:ascii="仿宋" w:hAnsi="仿宋" w:eastAsia="仿宋" w:cs="仿宋"/>
          <w:b w:val="0"/>
          <w:i w:val="0"/>
          <w:caps w:val="0"/>
          <w:color w:val="010101"/>
          <w:spacing w:val="0"/>
          <w:sz w:val="32"/>
          <w:szCs w:val="32"/>
          <w:lang w:val="en-US" w:eastAsia="zh-CN"/>
        </w:rPr>
      </w:pPr>
      <w:r>
        <w:rPr>
          <w:rFonts w:hint="eastAsia" w:ascii="仿宋" w:hAnsi="仿宋" w:eastAsia="仿宋" w:cs="仿宋"/>
          <w:b w:val="0"/>
          <w:i w:val="0"/>
          <w:caps w:val="0"/>
          <w:color w:val="010101"/>
          <w:spacing w:val="0"/>
          <w:sz w:val="32"/>
          <w:szCs w:val="32"/>
          <w:lang w:val="en-US" w:eastAsia="zh-CN"/>
        </w:rPr>
        <w:t>预算执行：</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right="0" w:rightChars="0" w:firstLine="320" w:firstLineChars="100"/>
        <w:jc w:val="left"/>
        <w:textAlignment w:val="auto"/>
        <w:rPr>
          <w:rFonts w:hint="eastAsia" w:ascii="仿宋" w:hAnsi="仿宋" w:eastAsia="仿宋" w:cs="仿宋"/>
          <w:b w:val="0"/>
          <w:bCs w:val="0"/>
          <w:i w:val="0"/>
          <w:caps w:val="0"/>
          <w:color w:val="010101"/>
          <w:spacing w:val="0"/>
          <w:sz w:val="32"/>
          <w:szCs w:val="32"/>
          <w:lang w:val="en-US" w:eastAsia="zh-CN"/>
        </w:rPr>
      </w:pPr>
      <w:r>
        <w:rPr>
          <w:rFonts w:hint="eastAsia" w:ascii="仿宋" w:hAnsi="仿宋" w:eastAsia="仿宋" w:cs="仿宋"/>
          <w:b w:val="0"/>
          <w:i w:val="0"/>
          <w:caps w:val="0"/>
          <w:color w:val="010101"/>
          <w:spacing w:val="0"/>
          <w:sz w:val="32"/>
          <w:szCs w:val="32"/>
          <w:lang w:val="en-US" w:eastAsia="zh-CN"/>
        </w:rPr>
        <w:t>上年结转33.46万元，本年预算及追加840.23万元，年末结转116.28万元，预算完成率为（33.46+840.23-116.28）/（33.46+840.23）*100%=94.75%，100%-94.75%=5.25%，扣4分，</w:t>
      </w:r>
      <w:r>
        <w:rPr>
          <w:rFonts w:hint="eastAsia" w:ascii="仿宋" w:hAnsi="仿宋" w:eastAsia="仿宋" w:cs="仿宋"/>
          <w:b w:val="0"/>
          <w:bCs w:val="0"/>
          <w:i w:val="0"/>
          <w:caps w:val="0"/>
          <w:color w:val="010101"/>
          <w:spacing w:val="0"/>
          <w:sz w:val="32"/>
          <w:szCs w:val="32"/>
          <w:lang w:val="en-US" w:eastAsia="zh-CN"/>
        </w:rPr>
        <w:t>根据评分标准该项得分5-4=1分。</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right="0" w:rightChars="0" w:firstLine="320" w:firstLineChars="100"/>
        <w:jc w:val="left"/>
        <w:textAlignment w:val="auto"/>
        <w:rPr>
          <w:rFonts w:hint="eastAsia" w:ascii="仿宋" w:hAnsi="仿宋" w:eastAsia="仿宋" w:cs="仿宋"/>
          <w:b w:val="0"/>
          <w:bCs w:val="0"/>
          <w:i w:val="0"/>
          <w:caps w:val="0"/>
          <w:color w:val="010101"/>
          <w:spacing w:val="0"/>
          <w:sz w:val="32"/>
          <w:szCs w:val="32"/>
          <w:lang w:val="en-US" w:eastAsia="zh-CN"/>
        </w:rPr>
      </w:pPr>
      <w:r>
        <w:rPr>
          <w:rFonts w:hint="eastAsia" w:ascii="仿宋" w:hAnsi="仿宋" w:eastAsia="仿宋" w:cs="仿宋"/>
          <w:b w:val="0"/>
          <w:bCs w:val="0"/>
          <w:i w:val="0"/>
          <w:caps w:val="0"/>
          <w:color w:val="010101"/>
          <w:spacing w:val="0"/>
          <w:sz w:val="32"/>
          <w:szCs w:val="32"/>
          <w:lang w:val="en-US" w:eastAsia="zh-CN"/>
        </w:rPr>
        <w:t>本年追加196.29万元，年初预算643.94万元，预算控制率196.29/643.94*100%=30.48%，根据评分标准该项得分3分。</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right="0" w:rightChars="0" w:firstLine="320" w:firstLineChars="100"/>
        <w:jc w:val="left"/>
        <w:textAlignment w:val="auto"/>
        <w:rPr>
          <w:rFonts w:hint="eastAsia" w:ascii="仿宋" w:hAnsi="仿宋" w:eastAsia="仿宋" w:cs="仿宋"/>
          <w:b w:val="0"/>
          <w:bCs w:val="0"/>
          <w:i w:val="0"/>
          <w:caps w:val="0"/>
          <w:color w:val="010101"/>
          <w:spacing w:val="0"/>
          <w:sz w:val="32"/>
          <w:szCs w:val="32"/>
          <w:lang w:val="en-US" w:eastAsia="zh-CN"/>
        </w:rPr>
      </w:pPr>
      <w:r>
        <w:rPr>
          <w:rFonts w:hint="eastAsia" w:ascii="仿宋" w:hAnsi="仿宋" w:eastAsia="仿宋" w:cs="仿宋"/>
          <w:b w:val="0"/>
          <w:bCs w:val="0"/>
          <w:i w:val="0"/>
          <w:caps w:val="0"/>
          <w:color w:val="010101"/>
          <w:spacing w:val="0"/>
          <w:sz w:val="32"/>
          <w:szCs w:val="32"/>
          <w:lang w:val="en-US" w:eastAsia="zh-CN"/>
        </w:rPr>
        <w:t>本单位没有新建楼堂馆所，新建楼堂馆所面积控制率无，根据评分标准该项得分5分。</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right="0" w:rightChars="0" w:firstLine="320" w:firstLineChars="100"/>
        <w:jc w:val="left"/>
        <w:textAlignment w:val="auto"/>
        <w:rPr>
          <w:rFonts w:hint="eastAsia" w:ascii="仿宋" w:hAnsi="仿宋" w:eastAsia="仿宋" w:cs="仿宋"/>
          <w:b w:val="0"/>
          <w:bCs w:val="0"/>
          <w:i w:val="0"/>
          <w:caps w:val="0"/>
          <w:color w:val="010101"/>
          <w:spacing w:val="0"/>
          <w:sz w:val="32"/>
          <w:szCs w:val="32"/>
          <w:lang w:val="en-US" w:eastAsia="zh-CN"/>
        </w:rPr>
      </w:pPr>
      <w:r>
        <w:rPr>
          <w:rFonts w:hint="eastAsia" w:ascii="仿宋" w:hAnsi="仿宋" w:eastAsia="仿宋" w:cs="仿宋"/>
          <w:b w:val="0"/>
          <w:bCs w:val="0"/>
          <w:i w:val="0"/>
          <w:caps w:val="0"/>
          <w:color w:val="010101"/>
          <w:spacing w:val="0"/>
          <w:sz w:val="32"/>
          <w:szCs w:val="32"/>
          <w:lang w:val="en-US" w:eastAsia="zh-CN"/>
        </w:rPr>
        <w:t xml:space="preserve">本单位没有新建楼堂馆所，新建楼堂馆所投资概算控制率无，根据评分标准该项得分5分。                </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right="0" w:rightChars="0" w:firstLine="640" w:firstLineChars="200"/>
        <w:jc w:val="left"/>
        <w:textAlignment w:val="auto"/>
        <w:rPr>
          <w:rFonts w:hint="eastAsia" w:ascii="仿宋" w:hAnsi="仿宋" w:eastAsia="仿宋" w:cs="仿宋"/>
          <w:b w:val="0"/>
          <w:bCs w:val="0"/>
          <w:i w:val="0"/>
          <w:caps w:val="0"/>
          <w:color w:val="010101"/>
          <w:spacing w:val="0"/>
          <w:sz w:val="32"/>
          <w:szCs w:val="32"/>
          <w:lang w:val="en-US" w:eastAsia="zh-CN"/>
        </w:rPr>
      </w:pPr>
      <w:r>
        <w:rPr>
          <w:rFonts w:hint="eastAsia" w:ascii="仿宋" w:hAnsi="仿宋" w:eastAsia="仿宋" w:cs="仿宋"/>
          <w:b w:val="0"/>
          <w:bCs w:val="0"/>
          <w:i w:val="0"/>
          <w:caps w:val="0"/>
          <w:color w:val="010101"/>
          <w:spacing w:val="0"/>
          <w:sz w:val="32"/>
          <w:szCs w:val="32"/>
          <w:lang w:val="en-US" w:eastAsia="zh-CN"/>
        </w:rPr>
        <w:t>2、预算管理</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right="0" w:rightChars="0"/>
        <w:jc w:val="left"/>
        <w:textAlignment w:val="auto"/>
        <w:rPr>
          <w:rFonts w:hint="eastAsia" w:ascii="仿宋" w:hAnsi="仿宋" w:eastAsia="仿宋" w:cs="仿宋"/>
          <w:b w:val="0"/>
          <w:bCs w:val="0"/>
          <w:i w:val="0"/>
          <w:caps w:val="0"/>
          <w:color w:val="010101"/>
          <w:spacing w:val="0"/>
          <w:sz w:val="32"/>
          <w:szCs w:val="32"/>
          <w:lang w:val="en-US" w:eastAsia="zh-CN"/>
        </w:rPr>
      </w:pPr>
      <w:r>
        <w:rPr>
          <w:rFonts w:hint="eastAsia" w:ascii="仿宋" w:hAnsi="仿宋" w:eastAsia="仿宋" w:cs="仿宋"/>
          <w:b w:val="0"/>
          <w:bCs w:val="0"/>
          <w:i w:val="0"/>
          <w:caps w:val="0"/>
          <w:color w:val="010101"/>
          <w:spacing w:val="0"/>
          <w:sz w:val="32"/>
          <w:szCs w:val="32"/>
          <w:lang w:val="en-US" w:eastAsia="zh-CN"/>
        </w:rPr>
        <w:t xml:space="preserve">   （1）本年度公用经费支出176.18万元，预算安排173万元，公用经费控制率176.18/173*100%=101.84%，根据评分标准该项得分7分。</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right="0" w:rightChars="0" w:firstLine="640" w:firstLineChars="200"/>
        <w:jc w:val="left"/>
        <w:textAlignment w:val="auto"/>
        <w:rPr>
          <w:rFonts w:hint="eastAsia" w:ascii="仿宋" w:hAnsi="仿宋" w:eastAsia="仿宋" w:cs="仿宋"/>
          <w:b w:val="0"/>
          <w:bCs w:val="0"/>
          <w:i w:val="0"/>
          <w:caps w:val="0"/>
          <w:color w:val="010101"/>
          <w:spacing w:val="0"/>
          <w:sz w:val="32"/>
          <w:szCs w:val="32"/>
          <w:lang w:val="en-US" w:eastAsia="zh-CN"/>
        </w:rPr>
      </w:pPr>
      <w:r>
        <w:rPr>
          <w:rFonts w:hint="eastAsia" w:ascii="仿宋" w:hAnsi="仿宋" w:eastAsia="仿宋" w:cs="仿宋"/>
          <w:b w:val="0"/>
          <w:bCs w:val="0"/>
          <w:i w:val="0"/>
          <w:caps w:val="0"/>
          <w:color w:val="010101"/>
          <w:spacing w:val="0"/>
          <w:sz w:val="32"/>
          <w:szCs w:val="32"/>
          <w:lang w:val="en-US" w:eastAsia="zh-CN"/>
        </w:rPr>
        <w:t>（2）“三公经费”本年度支出数为</w:t>
      </w:r>
      <w:r>
        <w:rPr>
          <w:rFonts w:hint="eastAsia" w:ascii="仿宋" w:hAnsi="仿宋" w:eastAsia="仿宋" w:cs="仿宋"/>
          <w:kern w:val="2"/>
          <w:sz w:val="32"/>
          <w:szCs w:val="32"/>
          <w:lang w:val="en-US" w:eastAsia="zh-CN" w:bidi="ar"/>
        </w:rPr>
        <w:t>19万元，年初预算为20万元，</w:t>
      </w:r>
      <w:r>
        <w:rPr>
          <w:rFonts w:hint="eastAsia" w:ascii="仿宋" w:hAnsi="仿宋" w:eastAsia="仿宋" w:cs="仿宋"/>
          <w:b w:val="0"/>
          <w:bCs w:val="0"/>
          <w:i w:val="0"/>
          <w:caps w:val="0"/>
          <w:color w:val="010101"/>
          <w:spacing w:val="0"/>
          <w:sz w:val="32"/>
          <w:szCs w:val="32"/>
          <w:lang w:val="en-US" w:eastAsia="zh-CN"/>
        </w:rPr>
        <w:t>“三公经费”</w:t>
      </w:r>
      <w:r>
        <w:rPr>
          <w:rFonts w:hint="eastAsia" w:ascii="仿宋" w:hAnsi="仿宋" w:eastAsia="仿宋" w:cs="仿宋"/>
          <w:kern w:val="2"/>
          <w:sz w:val="32"/>
          <w:szCs w:val="32"/>
          <w:lang w:val="en-US" w:eastAsia="zh-CN" w:bidi="ar"/>
        </w:rPr>
        <w:t>控制率19/20*100%=95%，</w:t>
      </w:r>
      <w:r>
        <w:rPr>
          <w:rFonts w:hint="eastAsia" w:ascii="仿宋" w:hAnsi="仿宋" w:eastAsia="仿宋" w:cs="仿宋"/>
          <w:b w:val="0"/>
          <w:bCs w:val="0"/>
          <w:i w:val="0"/>
          <w:caps w:val="0"/>
          <w:color w:val="010101"/>
          <w:spacing w:val="0"/>
          <w:sz w:val="32"/>
          <w:szCs w:val="32"/>
          <w:lang w:val="en-US" w:eastAsia="zh-CN"/>
        </w:rPr>
        <w:t>根据评分标准该项得分8分。</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right="0" w:rightChars="0" w:firstLine="640" w:firstLineChars="200"/>
        <w:jc w:val="left"/>
        <w:textAlignment w:val="auto"/>
        <w:rPr>
          <w:rFonts w:hint="eastAsia" w:ascii="仿宋" w:hAnsi="仿宋" w:eastAsia="仿宋" w:cs="仿宋"/>
          <w:b w:val="0"/>
          <w:bCs w:val="0"/>
          <w:i w:val="0"/>
          <w:caps w:val="0"/>
          <w:color w:val="010101"/>
          <w:spacing w:val="0"/>
          <w:sz w:val="32"/>
          <w:szCs w:val="32"/>
          <w:lang w:val="en-US" w:eastAsia="zh-CN"/>
        </w:rPr>
      </w:pPr>
      <w:r>
        <w:rPr>
          <w:rFonts w:hint="eastAsia" w:ascii="仿宋" w:hAnsi="仿宋" w:eastAsia="仿宋" w:cs="仿宋"/>
          <w:b w:val="0"/>
          <w:bCs w:val="0"/>
          <w:i w:val="0"/>
          <w:caps w:val="0"/>
          <w:color w:val="010101"/>
          <w:spacing w:val="0"/>
          <w:sz w:val="32"/>
          <w:szCs w:val="32"/>
          <w:lang w:val="en-US" w:eastAsia="zh-CN"/>
        </w:rPr>
        <w:t>（3）本年度政府采购金额9.14万元，年初采购预算9.14万元，政府采购执行率9.14/9.14*100%=100%，根据评分标准该项得分6分。</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right="0" w:rightChars="0" w:firstLine="640" w:firstLineChars="200"/>
        <w:jc w:val="left"/>
        <w:textAlignment w:val="auto"/>
        <w:rPr>
          <w:rFonts w:hint="eastAsia" w:ascii="仿宋" w:hAnsi="仿宋" w:eastAsia="仿宋" w:cs="仿宋"/>
          <w:b w:val="0"/>
          <w:bCs w:val="0"/>
          <w:i w:val="0"/>
          <w:caps w:val="0"/>
          <w:color w:val="010101"/>
          <w:spacing w:val="0"/>
          <w:sz w:val="32"/>
          <w:szCs w:val="32"/>
          <w:lang w:val="en-US" w:eastAsia="zh-CN"/>
        </w:rPr>
      </w:pPr>
      <w:r>
        <w:rPr>
          <w:rFonts w:hint="eastAsia" w:ascii="仿宋" w:hAnsi="仿宋" w:eastAsia="仿宋" w:cs="仿宋"/>
          <w:b w:val="0"/>
          <w:bCs w:val="0"/>
          <w:i w:val="0"/>
          <w:caps w:val="0"/>
          <w:color w:val="010101"/>
          <w:spacing w:val="0"/>
          <w:sz w:val="32"/>
          <w:szCs w:val="32"/>
          <w:lang w:val="en-US" w:eastAsia="zh-CN"/>
        </w:rPr>
        <w:t>（4）本单位制定了财务管理制度、会计核算制度、车辆管理制度、厉行节约等方面的规章制度，制定的各项制度合法合规，并得到了有效执行，根据评分标准该项得分8分。</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right="0" w:rightChars="0" w:firstLine="320" w:firstLineChars="100"/>
        <w:jc w:val="left"/>
        <w:textAlignment w:val="auto"/>
        <w:rPr>
          <w:rFonts w:hint="eastAsia" w:ascii="仿宋" w:hAnsi="仿宋" w:eastAsia="仿宋" w:cs="仿宋"/>
          <w:b w:val="0"/>
          <w:bCs w:val="0"/>
          <w:i w:val="0"/>
          <w:caps w:val="0"/>
          <w:color w:val="010101"/>
          <w:spacing w:val="0"/>
          <w:sz w:val="32"/>
          <w:szCs w:val="32"/>
          <w:lang w:val="en-US" w:eastAsia="zh-CN"/>
        </w:rPr>
      </w:pPr>
      <w:r>
        <w:rPr>
          <w:rFonts w:hint="eastAsia" w:ascii="仿宋" w:hAnsi="仿宋" w:eastAsia="仿宋" w:cs="仿宋"/>
          <w:b w:val="0"/>
          <w:bCs w:val="0"/>
          <w:i w:val="0"/>
          <w:caps w:val="0"/>
          <w:color w:val="010101"/>
          <w:spacing w:val="0"/>
          <w:sz w:val="32"/>
          <w:szCs w:val="32"/>
          <w:lang w:val="en-US" w:eastAsia="zh-CN"/>
        </w:rPr>
        <w:t>支出合法合规，按照预算批复的用途使用，有严格的审批程序，无截留、挤占、挪用、虚列支出等不良现象，根据评分标准该项得分6分。</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right="0" w:rightChars="0" w:firstLine="320" w:firstLineChars="100"/>
        <w:jc w:val="left"/>
        <w:textAlignment w:val="auto"/>
        <w:rPr>
          <w:rFonts w:hint="eastAsia" w:ascii="仿宋" w:hAnsi="仿宋" w:eastAsia="仿宋" w:cs="仿宋"/>
          <w:b w:val="0"/>
          <w:i w:val="0"/>
          <w:caps w:val="0"/>
          <w:color w:val="010101"/>
          <w:spacing w:val="0"/>
          <w:sz w:val="32"/>
          <w:szCs w:val="32"/>
        </w:rPr>
      </w:pPr>
      <w:r>
        <w:rPr>
          <w:rFonts w:hint="eastAsia" w:ascii="仿宋" w:hAnsi="仿宋" w:eastAsia="仿宋" w:cs="仿宋"/>
          <w:b w:val="0"/>
          <w:bCs w:val="0"/>
          <w:i w:val="0"/>
          <w:caps w:val="0"/>
          <w:color w:val="010101"/>
          <w:spacing w:val="0"/>
          <w:sz w:val="32"/>
          <w:szCs w:val="32"/>
          <w:lang w:val="en-US" w:eastAsia="zh-CN"/>
        </w:rPr>
        <w:t>本年度预决算按规定的内容及时限在保靖县人民政府网站公开，根据评分标准该项得分5分。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left="0" w:leftChars="0" w:right="0" w:rightChars="0" w:firstLine="0" w:firstLineChars="0"/>
        <w:jc w:val="left"/>
        <w:textAlignment w:val="auto"/>
        <w:rPr>
          <w:rFonts w:hint="eastAsia" w:ascii="仿宋" w:hAnsi="仿宋" w:eastAsia="仿宋" w:cs="仿宋"/>
          <w:b w:val="0"/>
          <w:i w:val="0"/>
          <w:caps w:val="0"/>
          <w:color w:val="010101"/>
          <w:spacing w:val="0"/>
          <w:sz w:val="32"/>
          <w:szCs w:val="32"/>
          <w:lang w:eastAsia="zh-CN"/>
        </w:rPr>
      </w:pPr>
      <w:r>
        <w:rPr>
          <w:rFonts w:hint="eastAsia" w:ascii="仿宋" w:hAnsi="仿宋" w:eastAsia="仿宋" w:cs="仿宋"/>
          <w:b/>
          <w:bCs/>
          <w:i w:val="0"/>
          <w:caps w:val="0"/>
          <w:color w:val="010101"/>
          <w:spacing w:val="0"/>
          <w:sz w:val="32"/>
          <w:szCs w:val="32"/>
          <w:lang w:val="en-US" w:eastAsia="zh-CN"/>
        </w:rPr>
        <w:t xml:space="preserve">   </w:t>
      </w:r>
      <w:r>
        <w:rPr>
          <w:rFonts w:hint="eastAsia" w:ascii="仿宋" w:hAnsi="仿宋" w:eastAsia="仿宋" w:cs="仿宋"/>
          <w:b w:val="0"/>
          <w:bCs w:val="0"/>
          <w:i w:val="0"/>
          <w:caps w:val="0"/>
          <w:color w:val="010101"/>
          <w:spacing w:val="0"/>
          <w:sz w:val="32"/>
          <w:szCs w:val="32"/>
          <w:lang w:val="en-US" w:eastAsia="zh-CN"/>
        </w:rPr>
        <w:t xml:space="preserve"> </w:t>
      </w:r>
      <w:r>
        <w:rPr>
          <w:rFonts w:hint="eastAsia" w:ascii="仿宋" w:hAnsi="仿宋" w:eastAsia="仿宋" w:cs="仿宋"/>
          <w:b/>
          <w:bCs/>
          <w:i w:val="0"/>
          <w:caps w:val="0"/>
          <w:color w:val="010101"/>
          <w:spacing w:val="0"/>
          <w:sz w:val="32"/>
          <w:szCs w:val="32"/>
          <w:lang w:val="en-US"/>
        </w:rPr>
        <w:t>（三）</w:t>
      </w:r>
      <w:r>
        <w:rPr>
          <w:rFonts w:hint="eastAsia" w:ascii="仿宋" w:hAnsi="仿宋" w:eastAsia="仿宋" w:cs="仿宋"/>
          <w:b/>
          <w:bCs/>
          <w:i w:val="0"/>
          <w:caps w:val="0"/>
          <w:color w:val="010101"/>
          <w:spacing w:val="0"/>
          <w:sz w:val="32"/>
          <w:szCs w:val="32"/>
          <w:lang w:val="en-US" w:eastAsia="zh-CN"/>
        </w:rPr>
        <w:t>产出及效率</w:t>
      </w:r>
    </w:p>
    <w:p>
      <w:pPr>
        <w:keepNext w:val="0"/>
        <w:keepLines w:val="0"/>
        <w:pageBreakBefore w:val="0"/>
        <w:kinsoku/>
        <w:overflowPunct/>
        <w:topLinePunct w:val="0"/>
        <w:autoSpaceDE/>
        <w:autoSpaceDN/>
        <w:bidi w:val="0"/>
        <w:adjustRightInd/>
        <w:spacing w:line="360" w:lineRule="auto"/>
        <w:ind w:left="0" w:leftChars="0" w:right="0" w:rightChars="0" w:firstLine="0" w:firstLineChars="0"/>
        <w:textAlignment w:val="auto"/>
        <w:rPr>
          <w:rFonts w:hint="eastAsia" w:ascii="仿宋" w:hAnsi="仿宋" w:eastAsia="仿宋" w:cs="仿宋"/>
          <w:b w:val="0"/>
          <w:i w:val="0"/>
          <w:caps w:val="0"/>
          <w:color w:val="010101"/>
          <w:spacing w:val="0"/>
          <w:sz w:val="32"/>
          <w:szCs w:val="32"/>
          <w:lang w:val="en-US" w:eastAsia="zh-CN"/>
        </w:rPr>
      </w:pPr>
      <w:r>
        <w:rPr>
          <w:rFonts w:hint="eastAsia" w:ascii="仿宋" w:hAnsi="仿宋" w:eastAsia="仿宋" w:cs="仿宋"/>
          <w:b w:val="0"/>
          <w:i w:val="0"/>
          <w:caps w:val="0"/>
          <w:color w:val="010101"/>
          <w:spacing w:val="0"/>
          <w:sz w:val="32"/>
          <w:szCs w:val="32"/>
          <w:lang w:val="en-US" w:eastAsia="zh-CN"/>
        </w:rPr>
        <w:t xml:space="preserve">     1、职责履行</w:t>
      </w:r>
    </w:p>
    <w:p>
      <w:pPr>
        <w:keepNext w:val="0"/>
        <w:keepLines w:val="0"/>
        <w:pageBreakBefore w:val="0"/>
        <w:kinsoku/>
        <w:overflowPunct/>
        <w:topLinePunct w:val="0"/>
        <w:autoSpaceDE/>
        <w:autoSpaceDN/>
        <w:bidi w:val="0"/>
        <w:adjustRightInd/>
        <w:spacing w:line="360" w:lineRule="auto"/>
        <w:ind w:left="0" w:leftChars="0" w:right="0" w:rightChars="0" w:firstLine="0" w:firstLineChars="0"/>
        <w:textAlignment w:val="auto"/>
        <w:rPr>
          <w:rFonts w:hint="eastAsia" w:ascii="仿宋" w:hAnsi="仿宋" w:eastAsia="仿宋" w:cs="仿宋"/>
          <w:b w:val="0"/>
          <w:bCs w:val="0"/>
          <w:i w:val="0"/>
          <w:caps w:val="0"/>
          <w:color w:val="010101"/>
          <w:spacing w:val="0"/>
          <w:sz w:val="32"/>
          <w:szCs w:val="32"/>
          <w:lang w:val="en-US" w:eastAsia="zh-CN"/>
        </w:rPr>
      </w:pPr>
      <w:r>
        <w:rPr>
          <w:rFonts w:hint="eastAsia" w:ascii="仿宋" w:hAnsi="仿宋" w:eastAsia="仿宋" w:cs="仿宋"/>
          <w:b w:val="0"/>
          <w:i w:val="0"/>
          <w:caps w:val="0"/>
          <w:color w:val="010101"/>
          <w:spacing w:val="0"/>
          <w:sz w:val="32"/>
          <w:szCs w:val="32"/>
          <w:lang w:val="en-US" w:eastAsia="zh-CN"/>
        </w:rPr>
        <w:t xml:space="preserve">     2017年我单位在各项工作中成绩突出，在全县五个文明建设绩效考核中被评为一等单位，</w:t>
      </w:r>
      <w:r>
        <w:rPr>
          <w:rFonts w:hint="eastAsia" w:ascii="仿宋" w:hAnsi="仿宋" w:eastAsia="仿宋" w:cs="仿宋"/>
          <w:b w:val="0"/>
          <w:bCs w:val="0"/>
          <w:i w:val="0"/>
          <w:caps w:val="0"/>
          <w:color w:val="010101"/>
          <w:spacing w:val="0"/>
          <w:sz w:val="32"/>
          <w:szCs w:val="32"/>
          <w:lang w:val="en-US" w:eastAsia="zh-CN"/>
        </w:rPr>
        <w:t>根据评分标准该项得分8分。</w:t>
      </w:r>
    </w:p>
    <w:p>
      <w:pPr>
        <w:keepNext w:val="0"/>
        <w:keepLines w:val="0"/>
        <w:pageBreakBefore w:val="0"/>
        <w:kinsoku/>
        <w:overflowPunct/>
        <w:topLinePunct w:val="0"/>
        <w:autoSpaceDE/>
        <w:autoSpaceDN/>
        <w:bidi w:val="0"/>
        <w:adjustRightInd/>
        <w:spacing w:line="360" w:lineRule="auto"/>
        <w:ind w:right="0" w:rightChars="0" w:firstLine="640" w:firstLineChars="200"/>
        <w:textAlignment w:val="auto"/>
        <w:rPr>
          <w:rFonts w:hint="eastAsia" w:ascii="仿宋" w:hAnsi="仿宋" w:eastAsia="仿宋" w:cs="仿宋"/>
          <w:b w:val="0"/>
          <w:bCs w:val="0"/>
          <w:i w:val="0"/>
          <w:caps w:val="0"/>
          <w:color w:val="010101"/>
          <w:spacing w:val="0"/>
          <w:sz w:val="32"/>
          <w:szCs w:val="32"/>
          <w:lang w:val="en-US" w:eastAsia="zh-CN"/>
        </w:rPr>
      </w:pPr>
      <w:r>
        <w:rPr>
          <w:rFonts w:hint="eastAsia" w:ascii="仿宋" w:hAnsi="仿宋" w:eastAsia="仿宋" w:cs="仿宋"/>
          <w:b w:val="0"/>
          <w:bCs w:val="0"/>
          <w:i w:val="0"/>
          <w:caps w:val="0"/>
          <w:color w:val="010101"/>
          <w:spacing w:val="0"/>
          <w:sz w:val="32"/>
          <w:szCs w:val="32"/>
          <w:lang w:val="en-US" w:eastAsia="zh-CN"/>
        </w:rPr>
        <w:t>2、履职效益</w:t>
      </w:r>
    </w:p>
    <w:p>
      <w:pPr>
        <w:keepNext w:val="0"/>
        <w:keepLines w:val="0"/>
        <w:pageBreakBefore w:val="0"/>
        <w:kinsoku/>
        <w:overflowPunct/>
        <w:topLinePunct w:val="0"/>
        <w:autoSpaceDE/>
        <w:autoSpaceDN/>
        <w:bidi w:val="0"/>
        <w:adjustRightInd/>
        <w:spacing w:line="360" w:lineRule="auto"/>
        <w:ind w:left="0" w:leftChars="0" w:right="0" w:rightChars="0" w:firstLine="640" w:firstLineChars="200"/>
        <w:textAlignment w:val="auto"/>
        <w:rPr>
          <w:rFonts w:hint="eastAsia" w:ascii="仿宋" w:hAnsi="仿宋" w:eastAsia="仿宋" w:cs="仿宋"/>
          <w:b w:val="0"/>
          <w:bCs w:val="0"/>
          <w:i w:val="0"/>
          <w:caps w:val="0"/>
          <w:color w:val="010101"/>
          <w:spacing w:val="0"/>
          <w:sz w:val="32"/>
          <w:szCs w:val="32"/>
          <w:lang w:val="en-US" w:eastAsia="zh-CN"/>
        </w:rPr>
      </w:pPr>
      <w:r>
        <w:rPr>
          <w:rFonts w:hint="eastAsia" w:ascii="仿宋" w:hAnsi="仿宋" w:eastAsia="仿宋" w:cs="仿宋"/>
          <w:b w:val="0"/>
          <w:bCs w:val="0"/>
          <w:i w:val="0"/>
          <w:caps w:val="0"/>
          <w:color w:val="010101"/>
          <w:spacing w:val="0"/>
          <w:sz w:val="32"/>
          <w:szCs w:val="32"/>
          <w:lang w:val="en-US" w:eastAsia="zh-CN"/>
        </w:rPr>
        <w:t>（1）</w:t>
      </w:r>
      <w:r>
        <w:rPr>
          <w:rFonts w:hint="eastAsia" w:ascii="仿宋" w:hAnsi="仿宋" w:eastAsia="仿宋" w:cs="仿宋"/>
          <w:b w:val="0"/>
          <w:i w:val="0"/>
          <w:caps w:val="0"/>
          <w:color w:val="010101"/>
          <w:spacing w:val="0"/>
          <w:sz w:val="32"/>
          <w:szCs w:val="32"/>
          <w:lang w:val="en-US" w:eastAsia="zh-CN"/>
        </w:rPr>
        <w:t xml:space="preserve"> </w:t>
      </w:r>
      <w:r>
        <w:rPr>
          <w:rFonts w:hint="eastAsia" w:ascii="仿宋" w:hAnsi="仿宋" w:eastAsia="仿宋" w:cs="仿宋"/>
          <w:b w:val="0"/>
          <w:i w:val="0"/>
          <w:caps w:val="0"/>
          <w:color w:val="010101"/>
          <w:spacing w:val="0"/>
          <w:sz w:val="32"/>
          <w:szCs w:val="32"/>
        </w:rPr>
        <w:t>201</w:t>
      </w:r>
      <w:r>
        <w:rPr>
          <w:rFonts w:hint="eastAsia" w:ascii="仿宋" w:hAnsi="仿宋" w:eastAsia="仿宋" w:cs="仿宋"/>
          <w:b w:val="0"/>
          <w:i w:val="0"/>
          <w:caps w:val="0"/>
          <w:color w:val="010101"/>
          <w:spacing w:val="0"/>
          <w:sz w:val="32"/>
          <w:szCs w:val="32"/>
          <w:lang w:val="en-US" w:eastAsia="zh-CN"/>
        </w:rPr>
        <w:t>7</w:t>
      </w:r>
      <w:r>
        <w:rPr>
          <w:rFonts w:hint="eastAsia" w:ascii="仿宋" w:hAnsi="仿宋" w:eastAsia="仿宋" w:cs="仿宋"/>
          <w:b w:val="0"/>
          <w:i w:val="0"/>
          <w:caps w:val="0"/>
          <w:color w:val="010101"/>
          <w:spacing w:val="0"/>
          <w:sz w:val="32"/>
          <w:szCs w:val="32"/>
        </w:rPr>
        <w:t>年部门整体支出绩效情况较好，</w:t>
      </w:r>
      <w:r>
        <w:rPr>
          <w:rFonts w:hint="eastAsia" w:ascii="仿宋" w:hAnsi="仿宋" w:eastAsia="仿宋" w:cs="仿宋"/>
          <w:b w:val="0"/>
          <w:i w:val="0"/>
          <w:caps w:val="0"/>
          <w:color w:val="010101"/>
          <w:spacing w:val="0"/>
          <w:sz w:val="32"/>
          <w:szCs w:val="32"/>
          <w:lang w:eastAsia="zh-CN"/>
        </w:rPr>
        <w:t>资金管理优质、高效、透明，单位各室</w:t>
      </w:r>
      <w:r>
        <w:rPr>
          <w:rFonts w:hint="eastAsia" w:ascii="仿宋" w:hAnsi="仿宋" w:eastAsia="仿宋" w:cs="仿宋"/>
          <w:b w:val="0"/>
          <w:i w:val="0"/>
          <w:caps w:val="0"/>
          <w:color w:val="010101"/>
          <w:spacing w:val="0"/>
          <w:sz w:val="32"/>
          <w:szCs w:val="32"/>
        </w:rPr>
        <w:t>均按年初设定的目标任务积极完成各项工作</w:t>
      </w:r>
      <w:r>
        <w:rPr>
          <w:rFonts w:hint="eastAsia" w:ascii="仿宋" w:hAnsi="仿宋" w:eastAsia="仿宋" w:cs="仿宋"/>
          <w:b w:val="0"/>
          <w:i w:val="0"/>
          <w:caps w:val="0"/>
          <w:color w:val="010101"/>
          <w:spacing w:val="0"/>
          <w:sz w:val="32"/>
          <w:szCs w:val="32"/>
          <w:lang w:eastAsia="zh-CN"/>
        </w:rPr>
        <w:t>，</w:t>
      </w:r>
      <w:r>
        <w:rPr>
          <w:rFonts w:hint="eastAsia" w:ascii="仿宋_GB2312" w:eastAsia="仿宋_GB2312"/>
          <w:sz w:val="32"/>
          <w:szCs w:val="32"/>
        </w:rPr>
        <w:t>开展信访件调查、纪律审查、执纪审理和党风政风监督等工作</w:t>
      </w:r>
      <w:r>
        <w:rPr>
          <w:rFonts w:hint="eastAsia" w:ascii="仿宋_GB2312" w:eastAsia="仿宋_GB2312"/>
          <w:sz w:val="32"/>
          <w:szCs w:val="32"/>
          <w:lang w:eastAsia="zh-CN"/>
        </w:rPr>
        <w:t>，</w:t>
      </w:r>
      <w:r>
        <w:rPr>
          <w:rFonts w:eastAsia="仿宋_GB2312"/>
          <w:sz w:val="32"/>
          <w:szCs w:val="32"/>
        </w:rPr>
        <w:t>紧紧围绕扶贫攻坚这一“头等大事”，</w:t>
      </w:r>
      <w:r>
        <w:rPr>
          <w:rFonts w:eastAsia="仿宋_GB2312"/>
          <w:sz w:val="32"/>
          <w:szCs w:val="32"/>
          <w:shd w:val="clear" w:color="auto" w:fill="FFFFFF"/>
        </w:rPr>
        <w:t>把精准扶贫</w:t>
      </w:r>
      <w:r>
        <w:rPr>
          <w:rFonts w:hint="eastAsia" w:eastAsia="仿宋_GB2312"/>
          <w:sz w:val="32"/>
          <w:szCs w:val="32"/>
          <w:shd w:val="clear" w:color="auto" w:fill="FFFFFF"/>
        </w:rPr>
        <w:t>专项</w:t>
      </w:r>
      <w:r>
        <w:rPr>
          <w:rFonts w:eastAsia="仿宋_GB2312"/>
          <w:sz w:val="32"/>
          <w:szCs w:val="32"/>
          <w:shd w:val="clear" w:color="auto" w:fill="FFFFFF"/>
        </w:rPr>
        <w:t>监督作为落实监督责任的重中之重，</w:t>
      </w:r>
      <w:r>
        <w:rPr>
          <w:rFonts w:eastAsia="仿宋_GB2312"/>
          <w:kern w:val="0"/>
          <w:sz w:val="32"/>
          <w:szCs w:val="32"/>
        </w:rPr>
        <w:t>聚焦扶贫政策落实、资金使用、项目建设等情况的监督检查，</w:t>
      </w:r>
      <w:r>
        <w:rPr>
          <w:rFonts w:eastAsia="仿宋_GB2312"/>
          <w:sz w:val="32"/>
          <w:szCs w:val="32"/>
        </w:rPr>
        <w:t>以</w:t>
      </w:r>
      <w:r>
        <w:rPr>
          <w:rFonts w:hint="eastAsia" w:eastAsia="仿宋_GB2312"/>
          <w:sz w:val="32"/>
          <w:szCs w:val="32"/>
        </w:rPr>
        <w:t>精准监督</w:t>
      </w:r>
      <w:r>
        <w:rPr>
          <w:rFonts w:eastAsia="仿宋_GB2312"/>
          <w:sz w:val="32"/>
          <w:szCs w:val="32"/>
        </w:rPr>
        <w:t>助推精准扶贫</w:t>
      </w:r>
      <w:r>
        <w:rPr>
          <w:rFonts w:hint="eastAsia" w:eastAsia="仿宋_GB2312"/>
          <w:sz w:val="32"/>
          <w:szCs w:val="32"/>
          <w:lang w:eastAsia="zh-CN"/>
        </w:rPr>
        <w:t>，</w:t>
      </w:r>
      <w:r>
        <w:rPr>
          <w:rFonts w:hint="eastAsia" w:ascii="仿宋_GB2312" w:hAnsi="仿宋_GB2312" w:eastAsia="仿宋_GB2312" w:cs="仿宋_GB2312"/>
          <w:color w:val="auto"/>
          <w:sz w:val="32"/>
          <w:szCs w:val="32"/>
        </w:rPr>
        <w:t>共收集到问题线索27条，受理举报26件，立案23件，</w:t>
      </w:r>
      <w:r>
        <w:rPr>
          <w:rFonts w:hint="eastAsia" w:ascii="仿宋" w:hAnsi="仿宋" w:eastAsia="仿宋"/>
          <w:color w:val="auto"/>
          <w:sz w:val="32"/>
          <w:szCs w:val="32"/>
        </w:rPr>
        <w:t>党政纪处分16人（其中党纪处分15人，政纪处分1人），移送司法机关1人，追缴违纪资金29.5万元，清退资金16.3万元，公开通报了典型案例22起。</w:t>
      </w:r>
      <w:r>
        <w:rPr>
          <w:rFonts w:hint="eastAsia" w:ascii="仿宋_GB2312" w:hAnsi="仿宋_GB2312" w:eastAsia="仿宋_GB2312" w:cs="仿宋_GB2312"/>
          <w:color w:val="auto"/>
          <w:sz w:val="32"/>
          <w:szCs w:val="32"/>
        </w:rPr>
        <w:t>通过专项整治，</w:t>
      </w:r>
      <w:r>
        <w:rPr>
          <w:rFonts w:hint="eastAsia" w:ascii="仿宋_GB2312" w:hAnsi="仿宋_GB2312" w:eastAsia="仿宋_GB2312" w:cs="仿宋_GB2312"/>
          <w:color w:val="auto"/>
          <w:kern w:val="0"/>
          <w:sz w:val="32"/>
          <w:szCs w:val="32"/>
          <w:lang w:bidi="ar"/>
        </w:rPr>
        <w:t>县人社局主动对全县所有养老金发放进行清理，共清查出2700多户违规领取领养老金问题，为县财政挽回经济损失近200多万。</w:t>
      </w:r>
      <w:r>
        <w:rPr>
          <w:rFonts w:hint="eastAsia" w:ascii="仿宋_GB2312" w:hAnsi="仿宋_GB2312" w:eastAsia="仿宋_GB2312" w:cs="仿宋_GB2312"/>
          <w:color w:val="auto"/>
          <w:sz w:val="32"/>
          <w:szCs w:val="32"/>
        </w:rPr>
        <w:t>开展“双百”行动，对涉及精准扶贫领域的信访问题线索，责任到人，进行快查、快办、快结。11件问题线索，</w:t>
      </w:r>
      <w:r>
        <w:rPr>
          <w:rFonts w:hint="eastAsia" w:ascii="仿宋" w:hAnsi="仿宋" w:eastAsia="仿宋"/>
          <w:color w:val="auto"/>
          <w:sz w:val="32"/>
          <w:szCs w:val="32"/>
        </w:rPr>
        <w:t>已全部办结。其中立案8人，组织处理13人，党纪政纪处分8人。</w:t>
      </w:r>
      <w:r>
        <w:rPr>
          <w:rFonts w:hint="eastAsia" w:ascii="仿宋" w:hAnsi="仿宋" w:eastAsia="仿宋" w:cs="仿宋"/>
          <w:b w:val="0"/>
          <w:i w:val="0"/>
          <w:caps w:val="0"/>
          <w:color w:val="010101"/>
          <w:spacing w:val="0"/>
          <w:sz w:val="32"/>
          <w:szCs w:val="32"/>
          <w:lang w:eastAsia="zh-CN"/>
        </w:rPr>
        <w:t>为保靖县域经济的发展起到了保驾护航的作用，有力地保障了社会的稳定和经济的发展，经济效益和社会效益评价指标中，</w:t>
      </w:r>
      <w:r>
        <w:rPr>
          <w:rFonts w:hint="eastAsia" w:ascii="仿宋" w:hAnsi="仿宋" w:eastAsia="仿宋" w:cs="仿宋"/>
          <w:b w:val="0"/>
          <w:bCs w:val="0"/>
          <w:i w:val="0"/>
          <w:caps w:val="0"/>
          <w:color w:val="010101"/>
          <w:spacing w:val="0"/>
          <w:sz w:val="32"/>
          <w:szCs w:val="32"/>
          <w:lang w:val="en-US" w:eastAsia="zh-CN"/>
        </w:rPr>
        <w:t>根据评分标准该项得分6分。</w:t>
      </w:r>
    </w:p>
    <w:p>
      <w:pPr>
        <w:numPr>
          <w:ilvl w:val="0"/>
          <w:numId w:val="3"/>
        </w:numPr>
        <w:spacing w:line="560" w:lineRule="exact"/>
        <w:ind w:firstLine="320" w:firstLineChars="100"/>
        <w:rPr>
          <w:rFonts w:hint="eastAsia" w:ascii="仿宋" w:hAnsi="仿宋" w:eastAsia="仿宋" w:cs="仿宋"/>
          <w:b w:val="0"/>
          <w:bCs w:val="0"/>
          <w:i w:val="0"/>
          <w:caps w:val="0"/>
          <w:color w:val="010101"/>
          <w:spacing w:val="0"/>
          <w:sz w:val="32"/>
          <w:szCs w:val="32"/>
          <w:lang w:val="en-US" w:eastAsia="zh-CN"/>
        </w:rPr>
      </w:pPr>
      <w:r>
        <w:rPr>
          <w:rFonts w:hint="eastAsia" w:ascii="Times New Roman" w:hAnsi="Times New Roman" w:eastAsia="仿宋"/>
          <w:color w:val="auto"/>
          <w:sz w:val="32"/>
          <w:szCs w:val="32"/>
        </w:rPr>
        <w:t>运用“互联网+”思维，借助科技的力量，将自上而下的组织监督与自下而上的群众监督结合起来，提升群众反腐败的参与度和获得感。今年以来，已通过村级权力监督微信群</w:t>
      </w:r>
      <w:r>
        <w:rPr>
          <w:rFonts w:hint="eastAsia" w:ascii="Times New Roman" w:hAnsi="Times New Roman" w:eastAsia="仿宋"/>
          <w:color w:val="auto"/>
          <w:sz w:val="32"/>
          <w:szCs w:val="32"/>
          <w:lang w:eastAsia="zh-CN"/>
        </w:rPr>
        <w:t>加大了</w:t>
      </w:r>
      <w:r>
        <w:rPr>
          <w:rFonts w:hint="eastAsia" w:ascii="Times New Roman" w:hAnsi="Times New Roman" w:eastAsia="仿宋"/>
          <w:color w:val="auto"/>
          <w:sz w:val="32"/>
          <w:szCs w:val="32"/>
        </w:rPr>
        <w:t>公示公开力度，全县农村基层信访量将去年同比有了较大幅度的下降</w:t>
      </w:r>
      <w:r>
        <w:rPr>
          <w:rFonts w:hint="eastAsia" w:ascii="Times New Roman" w:hAnsi="Times New Roman" w:eastAsia="仿宋"/>
          <w:color w:val="auto"/>
          <w:sz w:val="32"/>
          <w:szCs w:val="32"/>
          <w:lang w:eastAsia="zh-CN"/>
        </w:rPr>
        <w:t>，</w:t>
      </w:r>
      <w:r>
        <w:rPr>
          <w:rFonts w:hint="eastAsia" w:ascii="仿宋_GB2312" w:hAnsi="仿宋_GB2312" w:eastAsia="仿宋_GB2312" w:cs="仿宋_GB2312"/>
          <w:sz w:val="32"/>
          <w:szCs w:val="32"/>
          <w:lang w:eastAsia="zh-CN"/>
        </w:rPr>
        <w:t>推动网上办事，提高行政效率，降低行政成本，在行政评价指标中，</w:t>
      </w:r>
      <w:r>
        <w:rPr>
          <w:rFonts w:hint="eastAsia" w:ascii="仿宋" w:hAnsi="仿宋" w:eastAsia="仿宋" w:cs="仿宋"/>
          <w:b w:val="0"/>
          <w:bCs w:val="0"/>
          <w:i w:val="0"/>
          <w:caps w:val="0"/>
          <w:color w:val="010101"/>
          <w:spacing w:val="0"/>
          <w:sz w:val="32"/>
          <w:szCs w:val="32"/>
          <w:lang w:val="en-US" w:eastAsia="zh-CN"/>
        </w:rPr>
        <w:t>根据评分标准该项得分6分。</w:t>
      </w:r>
    </w:p>
    <w:p>
      <w:pPr>
        <w:numPr>
          <w:ilvl w:val="0"/>
          <w:numId w:val="3"/>
        </w:numPr>
        <w:spacing w:line="560" w:lineRule="exact"/>
        <w:ind w:firstLine="320" w:firstLineChars="100"/>
        <w:rPr>
          <w:rFonts w:hint="eastAsia" w:ascii="仿宋" w:hAnsi="仿宋" w:eastAsia="仿宋" w:cs="仿宋"/>
          <w:b w:val="0"/>
          <w:bCs w:val="0"/>
          <w:i w:val="0"/>
          <w:caps w:val="0"/>
          <w:color w:val="010101"/>
          <w:spacing w:val="0"/>
          <w:sz w:val="32"/>
          <w:szCs w:val="32"/>
          <w:lang w:val="en-US" w:eastAsia="zh-CN"/>
        </w:rPr>
      </w:pPr>
      <w:r>
        <w:rPr>
          <w:rFonts w:hint="eastAsia" w:ascii="仿宋" w:hAnsi="仿宋" w:eastAsia="仿宋" w:cs="仿宋"/>
          <w:b w:val="0"/>
          <w:bCs w:val="0"/>
          <w:i w:val="0"/>
          <w:caps w:val="0"/>
          <w:color w:val="010101"/>
          <w:spacing w:val="0"/>
          <w:sz w:val="32"/>
          <w:szCs w:val="32"/>
          <w:lang w:val="en-US" w:eastAsia="zh-CN"/>
        </w:rPr>
        <w:t>制作《关于保靖县纪委社会公众满意度调查问卷》，实行匿名填制，根据问卷填制来看，社会公众对本部门的工作总体评价满意，在社会公众或服务对象满意度指标评价中，根据评分标准该项得分6分。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left="0" w:leftChars="0" w:right="0" w:rightChars="0" w:firstLine="0" w:firstLineChars="0"/>
        <w:jc w:val="left"/>
        <w:textAlignment w:val="auto"/>
        <w:rPr>
          <w:rFonts w:hint="eastAsia" w:ascii="仿宋" w:hAnsi="仿宋" w:eastAsia="仿宋" w:cs="仿宋"/>
          <w:b/>
          <w:bCs/>
          <w:i w:val="0"/>
          <w:caps w:val="0"/>
          <w:color w:val="010101"/>
          <w:spacing w:val="0"/>
          <w:sz w:val="32"/>
          <w:szCs w:val="32"/>
          <w:lang w:val="en-US" w:eastAsia="zh-CN"/>
        </w:rPr>
      </w:pPr>
      <w:r>
        <w:rPr>
          <w:rFonts w:hint="eastAsia" w:ascii="仿宋" w:hAnsi="仿宋" w:eastAsia="仿宋" w:cs="仿宋"/>
          <w:b/>
          <w:bCs/>
          <w:i w:val="0"/>
          <w:caps w:val="0"/>
          <w:color w:val="010101"/>
          <w:spacing w:val="0"/>
          <w:sz w:val="32"/>
          <w:szCs w:val="32"/>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left="0" w:leftChars="0" w:right="0" w:rightChars="0" w:firstLine="640" w:firstLineChars="0"/>
        <w:jc w:val="left"/>
        <w:textAlignment w:val="auto"/>
        <w:rPr>
          <w:rStyle w:val="7"/>
          <w:rFonts w:hint="eastAsia" w:ascii="黑体" w:hAnsi="黑体" w:eastAsia="黑体" w:cs="黑体"/>
          <w:b w:val="0"/>
          <w:bCs/>
          <w:i w:val="0"/>
          <w:caps w:val="0"/>
          <w:color w:val="010101"/>
          <w:spacing w:val="0"/>
          <w:sz w:val="32"/>
          <w:szCs w:val="32"/>
          <w:lang w:val="en-US" w:eastAsia="zh-CN"/>
        </w:rPr>
      </w:pPr>
      <w:r>
        <w:rPr>
          <w:rStyle w:val="7"/>
          <w:rFonts w:hint="eastAsia" w:ascii="黑体" w:hAnsi="黑体" w:eastAsia="黑体" w:cs="黑体"/>
          <w:b w:val="0"/>
          <w:bCs/>
          <w:i w:val="0"/>
          <w:caps w:val="0"/>
          <w:color w:val="010101"/>
          <w:spacing w:val="0"/>
          <w:sz w:val="32"/>
          <w:szCs w:val="32"/>
          <w:lang w:eastAsia="zh-CN"/>
        </w:rPr>
        <w:t>五</w:t>
      </w:r>
      <w:r>
        <w:rPr>
          <w:rStyle w:val="7"/>
          <w:rFonts w:hint="eastAsia" w:ascii="黑体" w:hAnsi="黑体" w:eastAsia="黑体" w:cs="黑体"/>
          <w:b w:val="0"/>
          <w:bCs/>
          <w:i w:val="0"/>
          <w:caps w:val="0"/>
          <w:color w:val="010101"/>
          <w:spacing w:val="0"/>
          <w:sz w:val="32"/>
          <w:szCs w:val="32"/>
        </w:rPr>
        <w:t>、</w:t>
      </w:r>
      <w:r>
        <w:rPr>
          <w:rStyle w:val="7"/>
          <w:rFonts w:hint="eastAsia" w:ascii="黑体" w:hAnsi="黑体" w:eastAsia="黑体" w:cs="黑体"/>
          <w:b w:val="0"/>
          <w:bCs/>
          <w:i w:val="0"/>
          <w:caps w:val="0"/>
          <w:color w:val="010101"/>
          <w:spacing w:val="0"/>
          <w:sz w:val="32"/>
          <w:szCs w:val="32"/>
          <w:lang w:eastAsia="zh-CN"/>
        </w:rPr>
        <w:t>绩效评价结论</w:t>
      </w:r>
      <w:r>
        <w:rPr>
          <w:rStyle w:val="7"/>
          <w:rFonts w:hint="eastAsia" w:ascii="黑体" w:hAnsi="黑体" w:eastAsia="黑体" w:cs="黑体"/>
          <w:b w:val="0"/>
          <w:bCs/>
          <w:i w:val="0"/>
          <w:caps w:val="0"/>
          <w:color w:val="010101"/>
          <w:spacing w:val="0"/>
          <w:sz w:val="32"/>
          <w:szCs w:val="32"/>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left="0" w:leftChars="0" w:right="0" w:rightChars="0" w:firstLine="640" w:firstLineChars="0"/>
        <w:jc w:val="left"/>
        <w:textAlignment w:val="auto"/>
        <w:rPr>
          <w:rStyle w:val="7"/>
          <w:rFonts w:hint="eastAsia" w:ascii="仿宋" w:hAnsi="仿宋" w:eastAsia="仿宋" w:cs="仿宋"/>
          <w:b w:val="0"/>
          <w:bCs/>
          <w:i w:val="0"/>
          <w:caps w:val="0"/>
          <w:color w:val="010101"/>
          <w:spacing w:val="0"/>
          <w:sz w:val="32"/>
          <w:szCs w:val="32"/>
          <w:lang w:val="en-US" w:eastAsia="zh-CN"/>
        </w:rPr>
      </w:pPr>
      <w:r>
        <w:rPr>
          <w:rStyle w:val="7"/>
          <w:rFonts w:hint="eastAsia" w:ascii="仿宋" w:hAnsi="仿宋" w:eastAsia="仿宋" w:cs="仿宋"/>
          <w:b w:val="0"/>
          <w:bCs/>
          <w:i w:val="0"/>
          <w:caps w:val="0"/>
          <w:color w:val="010101"/>
          <w:spacing w:val="0"/>
          <w:sz w:val="32"/>
          <w:szCs w:val="32"/>
          <w:lang w:val="en-US" w:eastAsia="zh-CN"/>
        </w:rPr>
        <w:t>根据绩效评价体系评分体系测算，保靖县纪委2016年部门整体支出绩效评价得分是：投入绩效为13分，过程绩效为54分，产出及效率绩效为26分，总得分93分。评价等级为“优”。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left="0" w:leftChars="0" w:right="0" w:rightChars="0" w:firstLine="640" w:firstLineChars="0"/>
        <w:jc w:val="left"/>
        <w:textAlignment w:val="auto"/>
        <w:rPr>
          <w:rFonts w:hint="eastAsia" w:ascii="黑体" w:hAnsi="黑体" w:eastAsia="黑体" w:cs="黑体"/>
          <w:b w:val="0"/>
          <w:i w:val="0"/>
          <w:caps w:val="0"/>
          <w:color w:val="010101"/>
          <w:spacing w:val="0"/>
          <w:sz w:val="32"/>
          <w:szCs w:val="32"/>
        </w:rPr>
      </w:pPr>
      <w:r>
        <w:rPr>
          <w:rStyle w:val="7"/>
          <w:rFonts w:hint="eastAsia" w:ascii="黑体" w:hAnsi="黑体" w:eastAsia="黑体" w:cs="黑体"/>
          <w:b w:val="0"/>
          <w:bCs/>
          <w:i w:val="0"/>
          <w:caps w:val="0"/>
          <w:color w:val="010101"/>
          <w:spacing w:val="0"/>
          <w:sz w:val="32"/>
          <w:szCs w:val="32"/>
          <w:lang w:eastAsia="zh-CN"/>
        </w:rPr>
        <w:t>六</w:t>
      </w:r>
      <w:r>
        <w:rPr>
          <w:rStyle w:val="7"/>
          <w:rFonts w:hint="eastAsia" w:ascii="黑体" w:hAnsi="黑体" w:eastAsia="黑体" w:cs="黑体"/>
          <w:b w:val="0"/>
          <w:bCs/>
          <w:i w:val="0"/>
          <w:caps w:val="0"/>
          <w:color w:val="010101"/>
          <w:spacing w:val="0"/>
          <w:sz w:val="32"/>
          <w:szCs w:val="32"/>
        </w:rPr>
        <w:t>、存在的主要问题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left="0" w:leftChars="0" w:right="0" w:rightChars="0" w:firstLine="640" w:firstLineChars="0"/>
        <w:jc w:val="left"/>
        <w:textAlignment w:val="auto"/>
        <w:rPr>
          <w:rFonts w:hint="eastAsia" w:ascii="仿宋" w:hAnsi="仿宋" w:eastAsia="仿宋" w:cs="仿宋"/>
          <w:b w:val="0"/>
          <w:i w:val="0"/>
          <w:caps w:val="0"/>
          <w:color w:val="010101"/>
          <w:spacing w:val="0"/>
          <w:sz w:val="32"/>
          <w:szCs w:val="32"/>
        </w:rPr>
      </w:pPr>
      <w:r>
        <w:rPr>
          <w:rFonts w:hint="eastAsia" w:ascii="仿宋" w:hAnsi="仿宋" w:eastAsia="仿宋" w:cs="仿宋"/>
          <w:b w:val="0"/>
          <w:i w:val="0"/>
          <w:caps w:val="0"/>
          <w:color w:val="010101"/>
          <w:spacing w:val="0"/>
          <w:sz w:val="32"/>
          <w:szCs w:val="32"/>
        </w:rPr>
        <w:t>年初预算的编制</w:t>
      </w:r>
      <w:r>
        <w:rPr>
          <w:rFonts w:hint="eastAsia" w:ascii="仿宋" w:hAnsi="仿宋" w:eastAsia="仿宋" w:cs="仿宋"/>
          <w:b w:val="0"/>
          <w:i w:val="0"/>
          <w:caps w:val="0"/>
          <w:color w:val="010101"/>
          <w:spacing w:val="0"/>
          <w:sz w:val="32"/>
          <w:szCs w:val="32"/>
          <w:lang w:eastAsia="zh-CN"/>
        </w:rPr>
        <w:t>不</w:t>
      </w:r>
      <w:r>
        <w:rPr>
          <w:rFonts w:hint="eastAsia" w:ascii="仿宋" w:hAnsi="仿宋" w:eastAsia="仿宋" w:cs="仿宋"/>
          <w:b w:val="0"/>
          <w:i w:val="0"/>
          <w:caps w:val="0"/>
          <w:color w:val="010101"/>
          <w:spacing w:val="0"/>
          <w:sz w:val="32"/>
          <w:szCs w:val="32"/>
        </w:rPr>
        <w:t>精细</w:t>
      </w:r>
      <w:r>
        <w:rPr>
          <w:rFonts w:hint="eastAsia" w:ascii="仿宋" w:hAnsi="仿宋" w:eastAsia="仿宋" w:cs="仿宋"/>
          <w:b w:val="0"/>
          <w:i w:val="0"/>
          <w:caps w:val="0"/>
          <w:color w:val="010101"/>
          <w:spacing w:val="0"/>
          <w:sz w:val="32"/>
          <w:szCs w:val="32"/>
          <w:lang w:eastAsia="zh-CN"/>
        </w:rPr>
        <w:t>、不全面，只进行了基本支出和项目支出的区分，没有</w:t>
      </w:r>
      <w:r>
        <w:rPr>
          <w:rFonts w:hint="eastAsia" w:ascii="仿宋" w:hAnsi="仿宋" w:eastAsia="仿宋" w:cs="仿宋"/>
          <w:b w:val="0"/>
          <w:i w:val="0"/>
          <w:caps w:val="0"/>
          <w:color w:val="010101"/>
          <w:spacing w:val="0"/>
          <w:sz w:val="32"/>
          <w:szCs w:val="32"/>
        </w:rPr>
        <w:t>在基本支出和项目支出中进行更为明细的预算。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left="0" w:leftChars="0" w:right="0" w:rightChars="0" w:firstLine="640" w:firstLineChars="0"/>
        <w:jc w:val="left"/>
        <w:textAlignment w:val="auto"/>
        <w:rPr>
          <w:rFonts w:hint="eastAsia" w:ascii="仿宋" w:hAnsi="仿宋" w:eastAsia="仿宋" w:cs="仿宋"/>
          <w:b w:val="0"/>
          <w:i w:val="0"/>
          <w:caps w:val="0"/>
          <w:color w:val="010101"/>
          <w:spacing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left="0" w:leftChars="0" w:right="0" w:rightChars="0" w:firstLine="0" w:firstLineChars="0"/>
        <w:jc w:val="left"/>
        <w:textAlignment w:val="auto"/>
        <w:rPr>
          <w:rFonts w:hint="eastAsia" w:ascii="仿宋" w:hAnsi="仿宋" w:eastAsia="仿宋" w:cs="仿宋"/>
          <w:b w:val="0"/>
          <w:i w:val="0"/>
          <w:caps w:val="0"/>
          <w:color w:val="010101"/>
          <w:spacing w:val="0"/>
          <w:sz w:val="32"/>
          <w:szCs w:val="32"/>
        </w:rPr>
      </w:pPr>
      <w:r>
        <w:rPr>
          <w:rFonts w:hint="eastAsia" w:ascii="仿宋" w:hAnsi="仿宋" w:eastAsia="仿宋" w:cs="仿宋"/>
          <w:b w:val="0"/>
          <w:i w:val="0"/>
          <w:caps w:val="0"/>
          <w:color w:val="010101"/>
          <w:spacing w:val="0"/>
          <w:sz w:val="32"/>
          <w:szCs w:val="32"/>
        </w:rPr>
        <w:t>　　</w:t>
      </w:r>
      <w:r>
        <w:rPr>
          <w:rStyle w:val="7"/>
          <w:rFonts w:hint="eastAsia" w:ascii="黑体" w:hAnsi="黑体" w:eastAsia="黑体" w:cs="黑体"/>
          <w:b w:val="0"/>
          <w:bCs/>
          <w:i w:val="0"/>
          <w:caps w:val="0"/>
          <w:color w:val="010101"/>
          <w:spacing w:val="0"/>
          <w:sz w:val="32"/>
          <w:szCs w:val="32"/>
          <w:lang w:eastAsia="zh-CN"/>
        </w:rPr>
        <w:t>七</w:t>
      </w:r>
      <w:r>
        <w:rPr>
          <w:rStyle w:val="7"/>
          <w:rFonts w:hint="eastAsia" w:ascii="黑体" w:hAnsi="黑体" w:eastAsia="黑体" w:cs="黑体"/>
          <w:b w:val="0"/>
          <w:bCs/>
          <w:i w:val="0"/>
          <w:caps w:val="0"/>
          <w:color w:val="010101"/>
          <w:spacing w:val="0"/>
          <w:sz w:val="32"/>
          <w:szCs w:val="32"/>
        </w:rPr>
        <w:t>、改进措施和建议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left="0" w:leftChars="0" w:right="0" w:rightChars="0" w:firstLine="0" w:firstLineChars="0"/>
        <w:jc w:val="left"/>
        <w:textAlignment w:val="auto"/>
        <w:rPr>
          <w:rFonts w:hint="eastAsia" w:ascii="仿宋" w:hAnsi="仿宋" w:eastAsia="仿宋" w:cs="仿宋"/>
          <w:b w:val="0"/>
          <w:i w:val="0"/>
          <w:caps w:val="0"/>
          <w:color w:val="010101"/>
          <w:spacing w:val="0"/>
          <w:sz w:val="32"/>
          <w:szCs w:val="32"/>
        </w:rPr>
      </w:pPr>
      <w:r>
        <w:rPr>
          <w:rFonts w:hint="eastAsia" w:ascii="仿宋" w:hAnsi="仿宋" w:eastAsia="仿宋" w:cs="仿宋"/>
          <w:b w:val="0"/>
          <w:i w:val="0"/>
          <w:caps w:val="0"/>
          <w:color w:val="010101"/>
          <w:spacing w:val="0"/>
          <w:sz w:val="32"/>
          <w:szCs w:val="32"/>
        </w:rPr>
        <w:t>　　</w:t>
      </w:r>
      <w:r>
        <w:rPr>
          <w:rFonts w:hint="eastAsia" w:ascii="仿宋" w:hAnsi="仿宋" w:eastAsia="仿宋" w:cs="仿宋"/>
          <w:b w:val="0"/>
          <w:i w:val="0"/>
          <w:caps w:val="0"/>
          <w:color w:val="010101"/>
          <w:spacing w:val="0"/>
          <w:sz w:val="32"/>
          <w:szCs w:val="32"/>
          <w:lang w:val="en-US"/>
        </w:rPr>
        <w:t>1</w:t>
      </w:r>
      <w:r>
        <w:rPr>
          <w:rFonts w:hint="eastAsia" w:ascii="仿宋" w:hAnsi="仿宋" w:eastAsia="仿宋" w:cs="仿宋"/>
          <w:b w:val="0"/>
          <w:i w:val="0"/>
          <w:caps w:val="0"/>
          <w:color w:val="010101"/>
          <w:spacing w:val="0"/>
          <w:sz w:val="32"/>
          <w:szCs w:val="32"/>
        </w:rPr>
        <w:t>、细化预算编制工作，认真做好预算的编制。进一步加强内部机构的预算管理意识，严格按照预算编制的相关制度和要求，本着“勤俭节约、保障运转”的原则进行预算的编制；编制范围尽可能的全面、不漏项，进一步提高预算编制的科学性、合理性、严谨性和可控性。</w:t>
      </w:r>
    </w:p>
    <w:p>
      <w:pPr>
        <w:keepNext w:val="0"/>
        <w:keepLines w:val="0"/>
        <w:pageBreakBefore w:val="0"/>
        <w:numPr>
          <w:ilvl w:val="0"/>
          <w:numId w:val="0"/>
        </w:numPr>
        <w:kinsoku/>
        <w:overflowPunct/>
        <w:topLinePunct w:val="0"/>
        <w:autoSpaceDE/>
        <w:autoSpaceDN/>
        <w:bidi w:val="0"/>
        <w:adjustRightInd/>
        <w:spacing w:line="360" w:lineRule="auto"/>
        <w:ind w:left="0" w:leftChars="0" w:right="0" w:rightChars="0" w:firstLine="0" w:firstLineChars="0"/>
        <w:jc w:val="left"/>
        <w:textAlignment w:val="auto"/>
        <w:rPr>
          <w:rFonts w:hint="eastAsia" w:ascii="仿宋" w:hAnsi="仿宋" w:eastAsia="仿宋" w:cs="仿宋"/>
          <w:b w:val="0"/>
          <w:i w:val="0"/>
          <w:caps w:val="0"/>
          <w:color w:val="010101"/>
          <w:spacing w:val="0"/>
          <w:sz w:val="32"/>
          <w:szCs w:val="32"/>
        </w:rPr>
      </w:pPr>
      <w:r>
        <w:rPr>
          <w:rFonts w:hint="eastAsia" w:ascii="仿宋" w:hAnsi="仿宋" w:eastAsia="仿宋" w:cs="仿宋"/>
          <w:b w:val="0"/>
          <w:i w:val="0"/>
          <w:caps w:val="0"/>
          <w:color w:val="010101"/>
          <w:spacing w:val="0"/>
          <w:sz w:val="32"/>
          <w:szCs w:val="32"/>
        </w:rPr>
        <w:t>　　</w:t>
      </w:r>
      <w:r>
        <w:rPr>
          <w:rFonts w:hint="eastAsia" w:ascii="仿宋" w:hAnsi="仿宋" w:eastAsia="仿宋" w:cs="仿宋"/>
          <w:b w:val="0"/>
          <w:i w:val="0"/>
          <w:caps w:val="0"/>
          <w:color w:val="010101"/>
          <w:spacing w:val="0"/>
          <w:sz w:val="32"/>
          <w:szCs w:val="32"/>
          <w:lang w:val="en-US"/>
        </w:rPr>
        <w:t> 2</w:t>
      </w:r>
      <w:r>
        <w:rPr>
          <w:rFonts w:hint="eastAsia" w:ascii="仿宋" w:hAnsi="仿宋" w:eastAsia="仿宋" w:cs="仿宋"/>
          <w:b w:val="0"/>
          <w:i w:val="0"/>
          <w:caps w:val="0"/>
          <w:color w:val="010101"/>
          <w:spacing w:val="0"/>
          <w:sz w:val="32"/>
          <w:szCs w:val="32"/>
        </w:rPr>
        <w:t>、在日常预算管理过程中，进一步加强预算支出的审核、跟踪及预算执行情况分析。</w:t>
      </w:r>
    </w:p>
    <w:p>
      <w:pPr>
        <w:keepNext w:val="0"/>
        <w:keepLines w:val="0"/>
        <w:pageBreakBefore w:val="0"/>
        <w:numPr>
          <w:ilvl w:val="0"/>
          <w:numId w:val="0"/>
        </w:numPr>
        <w:kinsoku/>
        <w:overflowPunct/>
        <w:topLinePunct w:val="0"/>
        <w:autoSpaceDE/>
        <w:autoSpaceDN/>
        <w:bidi w:val="0"/>
        <w:adjustRightInd/>
        <w:spacing w:line="360" w:lineRule="auto"/>
        <w:ind w:left="0" w:leftChars="0" w:right="0" w:rightChars="0" w:firstLine="0" w:firstLineChars="0"/>
        <w:jc w:val="left"/>
        <w:textAlignment w:val="auto"/>
        <w:rPr>
          <w:rFonts w:hint="eastAsia" w:ascii="仿宋" w:hAnsi="仿宋" w:eastAsia="仿宋" w:cs="仿宋"/>
          <w:b w:val="0"/>
          <w:i w:val="0"/>
          <w:caps w:val="0"/>
          <w:color w:val="010101"/>
          <w:spacing w:val="0"/>
          <w:sz w:val="32"/>
          <w:szCs w:val="32"/>
        </w:rPr>
      </w:pPr>
    </w:p>
    <w:p>
      <w:pPr>
        <w:keepNext w:val="0"/>
        <w:keepLines w:val="0"/>
        <w:pageBreakBefore w:val="0"/>
        <w:numPr>
          <w:ilvl w:val="0"/>
          <w:numId w:val="0"/>
        </w:numPr>
        <w:kinsoku/>
        <w:overflowPunct/>
        <w:topLinePunct w:val="0"/>
        <w:autoSpaceDE/>
        <w:autoSpaceDN/>
        <w:bidi w:val="0"/>
        <w:adjustRightInd/>
        <w:spacing w:line="360" w:lineRule="auto"/>
        <w:ind w:left="0" w:leftChars="0" w:right="0" w:rightChars="0" w:firstLine="0" w:firstLineChars="0"/>
        <w:jc w:val="left"/>
        <w:textAlignment w:val="auto"/>
        <w:rPr>
          <w:rFonts w:hint="eastAsia" w:ascii="仿宋" w:hAnsi="仿宋" w:eastAsia="仿宋" w:cs="仿宋"/>
          <w:b w:val="0"/>
          <w:i w:val="0"/>
          <w:caps w:val="0"/>
          <w:color w:val="010101"/>
          <w:spacing w:val="0"/>
          <w:sz w:val="32"/>
          <w:szCs w:val="32"/>
          <w:lang w:val="en-US" w:eastAsia="zh-CN"/>
        </w:rPr>
      </w:pPr>
      <w:r>
        <w:rPr>
          <w:rFonts w:hint="eastAsia" w:ascii="仿宋" w:hAnsi="仿宋" w:eastAsia="仿宋" w:cs="仿宋"/>
          <w:b w:val="0"/>
          <w:i w:val="0"/>
          <w:caps w:val="0"/>
          <w:color w:val="010101"/>
          <w:spacing w:val="0"/>
          <w:sz w:val="32"/>
          <w:szCs w:val="32"/>
          <w:lang w:val="en-US" w:eastAsia="zh-CN"/>
        </w:rPr>
        <w:t xml:space="preserve">                             中共保靖县纪委监委</w:t>
      </w:r>
    </w:p>
    <w:p>
      <w:pPr>
        <w:keepNext w:val="0"/>
        <w:keepLines w:val="0"/>
        <w:pageBreakBefore w:val="0"/>
        <w:numPr>
          <w:ilvl w:val="0"/>
          <w:numId w:val="0"/>
        </w:numPr>
        <w:kinsoku/>
        <w:overflowPunct/>
        <w:topLinePunct w:val="0"/>
        <w:autoSpaceDE/>
        <w:autoSpaceDN/>
        <w:bidi w:val="0"/>
        <w:adjustRightInd/>
        <w:spacing w:line="360" w:lineRule="auto"/>
        <w:ind w:left="0" w:leftChars="0" w:right="0" w:rightChars="0" w:firstLine="0" w:firstLineChars="0"/>
        <w:jc w:val="left"/>
        <w:textAlignment w:val="auto"/>
        <w:rPr>
          <w:rFonts w:hint="eastAsia" w:ascii="仿宋" w:hAnsi="仿宋" w:eastAsia="仿宋" w:cs="仿宋"/>
          <w:b w:val="0"/>
          <w:i w:val="0"/>
          <w:caps w:val="0"/>
          <w:color w:val="010101"/>
          <w:spacing w:val="0"/>
          <w:sz w:val="32"/>
          <w:szCs w:val="32"/>
          <w:lang w:val="en-US" w:eastAsia="zh-CN"/>
        </w:rPr>
      </w:pPr>
      <w:r>
        <w:rPr>
          <w:rFonts w:hint="eastAsia" w:ascii="仿宋" w:hAnsi="仿宋" w:eastAsia="仿宋" w:cs="仿宋"/>
          <w:b w:val="0"/>
          <w:i w:val="0"/>
          <w:caps w:val="0"/>
          <w:color w:val="010101"/>
          <w:spacing w:val="0"/>
          <w:sz w:val="32"/>
          <w:szCs w:val="32"/>
          <w:lang w:val="en-US" w:eastAsia="zh-CN"/>
        </w:rPr>
        <w:t xml:space="preserve">                              2018年7月15日</w:t>
      </w:r>
    </w:p>
    <w:p>
      <w:pPr>
        <w:keepNext w:val="0"/>
        <w:keepLines w:val="0"/>
        <w:pageBreakBefore w:val="0"/>
        <w:numPr>
          <w:ilvl w:val="0"/>
          <w:numId w:val="0"/>
        </w:numPr>
        <w:kinsoku/>
        <w:overflowPunct/>
        <w:topLinePunct w:val="0"/>
        <w:autoSpaceDE/>
        <w:autoSpaceDN/>
        <w:bidi w:val="0"/>
        <w:adjustRightInd/>
        <w:spacing w:line="360" w:lineRule="auto"/>
        <w:ind w:left="0" w:leftChars="0" w:right="0" w:rightChars="0"/>
        <w:jc w:val="left"/>
        <w:textAlignment w:val="auto"/>
        <w:rPr>
          <w:rFonts w:hint="eastAsia" w:ascii="仿宋" w:hAnsi="仿宋" w:eastAsia="仿宋" w:cs="仿宋"/>
          <w:b w:val="0"/>
          <w:i w:val="0"/>
          <w:caps w:val="0"/>
          <w:color w:val="010101"/>
          <w:spacing w:val="0"/>
          <w:sz w:val="32"/>
          <w:szCs w:val="32"/>
          <w:lang w:val="en-US" w:eastAsia="zh-CN"/>
        </w:rPr>
      </w:pPr>
    </w:p>
    <w:p>
      <w:pPr>
        <w:keepNext w:val="0"/>
        <w:keepLines w:val="0"/>
        <w:pageBreakBefore w:val="0"/>
        <w:numPr>
          <w:ilvl w:val="0"/>
          <w:numId w:val="0"/>
        </w:numPr>
        <w:kinsoku/>
        <w:overflowPunct/>
        <w:topLinePunct w:val="0"/>
        <w:autoSpaceDE/>
        <w:autoSpaceDN/>
        <w:bidi w:val="0"/>
        <w:adjustRightInd/>
        <w:spacing w:line="360" w:lineRule="auto"/>
        <w:ind w:left="0" w:leftChars="0" w:right="0" w:rightChars="0"/>
        <w:jc w:val="left"/>
        <w:textAlignment w:val="auto"/>
        <w:rPr>
          <w:rFonts w:hint="eastAsia" w:ascii="仿宋" w:hAnsi="仿宋" w:eastAsia="仿宋" w:cs="仿宋"/>
          <w:b w:val="0"/>
          <w:i w:val="0"/>
          <w:caps w:val="0"/>
          <w:color w:val="010101"/>
          <w:spacing w:val="0"/>
          <w:sz w:val="32"/>
          <w:szCs w:val="32"/>
          <w:lang w:val="en-US" w:eastAsia="zh-CN"/>
        </w:rPr>
      </w:pPr>
    </w:p>
    <w:p>
      <w:pPr>
        <w:keepNext w:val="0"/>
        <w:keepLines w:val="0"/>
        <w:pageBreakBefore w:val="0"/>
        <w:numPr>
          <w:ilvl w:val="0"/>
          <w:numId w:val="0"/>
        </w:numPr>
        <w:kinsoku/>
        <w:overflowPunct/>
        <w:topLinePunct w:val="0"/>
        <w:autoSpaceDE/>
        <w:autoSpaceDN/>
        <w:bidi w:val="0"/>
        <w:adjustRightInd/>
        <w:spacing w:line="360" w:lineRule="auto"/>
        <w:ind w:left="0" w:leftChars="0" w:right="0" w:rightChars="0"/>
        <w:jc w:val="left"/>
        <w:textAlignment w:val="auto"/>
        <w:rPr>
          <w:rFonts w:hint="eastAsia" w:ascii="仿宋" w:hAnsi="仿宋" w:eastAsia="仿宋" w:cs="仿宋"/>
          <w:b w:val="0"/>
          <w:i w:val="0"/>
          <w:caps w:val="0"/>
          <w:color w:val="010101"/>
          <w:spacing w:val="0"/>
          <w:sz w:val="32"/>
          <w:szCs w:val="32"/>
          <w:lang w:val="en-US" w:eastAsia="zh-CN"/>
        </w:rPr>
      </w:pPr>
    </w:p>
    <w:p>
      <w:pPr>
        <w:keepNext w:val="0"/>
        <w:keepLines w:val="0"/>
        <w:pageBreakBefore w:val="0"/>
        <w:numPr>
          <w:ilvl w:val="0"/>
          <w:numId w:val="0"/>
        </w:numPr>
        <w:kinsoku/>
        <w:overflowPunct/>
        <w:topLinePunct w:val="0"/>
        <w:autoSpaceDE/>
        <w:autoSpaceDN/>
        <w:bidi w:val="0"/>
        <w:adjustRightInd/>
        <w:spacing w:line="360" w:lineRule="auto"/>
        <w:ind w:left="0" w:leftChars="0" w:right="0" w:rightChars="0"/>
        <w:jc w:val="left"/>
        <w:textAlignment w:val="auto"/>
        <w:rPr>
          <w:rFonts w:hint="eastAsia" w:ascii="仿宋" w:hAnsi="仿宋" w:eastAsia="仿宋" w:cs="仿宋"/>
          <w:b w:val="0"/>
          <w:i w:val="0"/>
          <w:caps w:val="0"/>
          <w:color w:val="010101"/>
          <w:spacing w:val="0"/>
          <w:sz w:val="32"/>
          <w:szCs w:val="32"/>
          <w:lang w:val="en-US" w:eastAsia="zh-CN"/>
        </w:rPr>
      </w:pPr>
    </w:p>
    <w:p>
      <w:pPr>
        <w:keepNext w:val="0"/>
        <w:keepLines w:val="0"/>
        <w:pageBreakBefore w:val="0"/>
        <w:numPr>
          <w:ilvl w:val="0"/>
          <w:numId w:val="0"/>
        </w:numPr>
        <w:kinsoku/>
        <w:overflowPunct/>
        <w:topLinePunct w:val="0"/>
        <w:autoSpaceDE/>
        <w:autoSpaceDN/>
        <w:bidi w:val="0"/>
        <w:adjustRightInd/>
        <w:spacing w:line="360" w:lineRule="auto"/>
        <w:ind w:left="0" w:leftChars="0" w:right="0" w:rightChars="0"/>
        <w:jc w:val="left"/>
        <w:textAlignment w:val="auto"/>
        <w:rPr>
          <w:rFonts w:hint="eastAsia" w:ascii="仿宋" w:hAnsi="仿宋" w:eastAsia="仿宋" w:cs="仿宋"/>
          <w:b w:val="0"/>
          <w:i w:val="0"/>
          <w:caps w:val="0"/>
          <w:color w:val="010101"/>
          <w:spacing w:val="0"/>
          <w:sz w:val="32"/>
          <w:szCs w:val="32"/>
          <w:lang w:val="en-US" w:eastAsia="zh-CN"/>
        </w:rPr>
      </w:pPr>
    </w:p>
    <w:p>
      <w:pPr>
        <w:keepNext w:val="0"/>
        <w:keepLines w:val="0"/>
        <w:pageBreakBefore w:val="0"/>
        <w:numPr>
          <w:ilvl w:val="0"/>
          <w:numId w:val="0"/>
        </w:numPr>
        <w:kinsoku/>
        <w:overflowPunct/>
        <w:topLinePunct w:val="0"/>
        <w:autoSpaceDE/>
        <w:autoSpaceDN/>
        <w:bidi w:val="0"/>
        <w:adjustRightInd/>
        <w:spacing w:line="360" w:lineRule="auto"/>
        <w:ind w:left="0" w:leftChars="0" w:right="0" w:rightChars="0"/>
        <w:jc w:val="left"/>
        <w:textAlignment w:val="auto"/>
        <w:rPr>
          <w:rFonts w:hint="eastAsia" w:ascii="仿宋" w:hAnsi="仿宋" w:eastAsia="仿宋" w:cs="仿宋"/>
          <w:sz w:val="32"/>
          <w:szCs w:val="32"/>
          <w:lang w:val="en-US" w:eastAsia="zh-CN"/>
        </w:rPr>
      </w:pPr>
    </w:p>
    <w:p>
      <w:pPr>
        <w:keepNext w:val="0"/>
        <w:keepLines w:val="0"/>
        <w:pageBreakBefore w:val="0"/>
        <w:numPr>
          <w:ilvl w:val="0"/>
          <w:numId w:val="0"/>
        </w:numPr>
        <w:kinsoku/>
        <w:overflowPunct/>
        <w:topLinePunct w:val="0"/>
        <w:autoSpaceDE/>
        <w:autoSpaceDN/>
        <w:bidi w:val="0"/>
        <w:adjustRightInd/>
        <w:spacing w:line="360" w:lineRule="auto"/>
        <w:ind w:left="0" w:leftChars="0" w:right="0" w:rightChars="0"/>
        <w:jc w:val="left"/>
        <w:textAlignment w:val="auto"/>
        <w:rPr>
          <w:rFonts w:hint="eastAsia" w:ascii="仿宋" w:hAnsi="仿宋" w:eastAsia="仿宋" w:cs="仿宋"/>
          <w:sz w:val="32"/>
          <w:szCs w:val="32"/>
          <w:lang w:val="en-US" w:eastAsia="zh-CN"/>
        </w:rPr>
      </w:pPr>
    </w:p>
    <w:sectPr>
      <w:footerReference r:id="rId3"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4CDD0"/>
    <w:multiLevelType w:val="singleLevel"/>
    <w:tmpl w:val="59A4CDD0"/>
    <w:lvl w:ilvl="0" w:tentative="0">
      <w:start w:val="1"/>
      <w:numFmt w:val="decimal"/>
      <w:suff w:val="nothing"/>
      <w:lvlText w:val="%1、"/>
      <w:lvlJc w:val="left"/>
    </w:lvl>
  </w:abstractNum>
  <w:abstractNum w:abstractNumId="1">
    <w:nsid w:val="59A4CF36"/>
    <w:multiLevelType w:val="singleLevel"/>
    <w:tmpl w:val="59A4CF36"/>
    <w:lvl w:ilvl="0" w:tentative="0">
      <w:start w:val="1"/>
      <w:numFmt w:val="decimal"/>
      <w:suff w:val="nothing"/>
      <w:lvlText w:val="（%1）"/>
      <w:lvlJc w:val="left"/>
    </w:lvl>
  </w:abstractNum>
  <w:abstractNum w:abstractNumId="2">
    <w:nsid w:val="59A4E57C"/>
    <w:multiLevelType w:val="singleLevel"/>
    <w:tmpl w:val="59A4E57C"/>
    <w:lvl w:ilvl="0" w:tentative="0">
      <w:start w:val="2"/>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E6790E"/>
    <w:rsid w:val="02FE7922"/>
    <w:rsid w:val="04773241"/>
    <w:rsid w:val="05CA4BD2"/>
    <w:rsid w:val="087137D1"/>
    <w:rsid w:val="08956242"/>
    <w:rsid w:val="0A046964"/>
    <w:rsid w:val="0E394B6F"/>
    <w:rsid w:val="0ECB58A9"/>
    <w:rsid w:val="11C41371"/>
    <w:rsid w:val="12196BAF"/>
    <w:rsid w:val="12CA4AFF"/>
    <w:rsid w:val="12FC2CA5"/>
    <w:rsid w:val="130F3682"/>
    <w:rsid w:val="1322719D"/>
    <w:rsid w:val="13EA0FA4"/>
    <w:rsid w:val="143E4E6B"/>
    <w:rsid w:val="158D5572"/>
    <w:rsid w:val="17DA41FC"/>
    <w:rsid w:val="1856524E"/>
    <w:rsid w:val="18A3514D"/>
    <w:rsid w:val="1996632B"/>
    <w:rsid w:val="1AB919BD"/>
    <w:rsid w:val="1CC919AF"/>
    <w:rsid w:val="1E1C37B4"/>
    <w:rsid w:val="1E5A0BFF"/>
    <w:rsid w:val="1F296829"/>
    <w:rsid w:val="1FC56AF8"/>
    <w:rsid w:val="22BC31FD"/>
    <w:rsid w:val="23234E6F"/>
    <w:rsid w:val="23D93EA5"/>
    <w:rsid w:val="240554F7"/>
    <w:rsid w:val="2432714C"/>
    <w:rsid w:val="266A0BE6"/>
    <w:rsid w:val="2818662B"/>
    <w:rsid w:val="28415D41"/>
    <w:rsid w:val="28DE2052"/>
    <w:rsid w:val="2981749F"/>
    <w:rsid w:val="2C6030D4"/>
    <w:rsid w:val="2E7051F4"/>
    <w:rsid w:val="2F0E68BC"/>
    <w:rsid w:val="2F7E65D0"/>
    <w:rsid w:val="31CC2241"/>
    <w:rsid w:val="353F4990"/>
    <w:rsid w:val="36494D75"/>
    <w:rsid w:val="37E6790E"/>
    <w:rsid w:val="38524A9D"/>
    <w:rsid w:val="3AED3737"/>
    <w:rsid w:val="3BC34ADD"/>
    <w:rsid w:val="3E045863"/>
    <w:rsid w:val="40601DE4"/>
    <w:rsid w:val="40C92B3B"/>
    <w:rsid w:val="40CB47A2"/>
    <w:rsid w:val="41FE715C"/>
    <w:rsid w:val="421F4CAA"/>
    <w:rsid w:val="42444DF5"/>
    <w:rsid w:val="428C055A"/>
    <w:rsid w:val="44E25C5A"/>
    <w:rsid w:val="457D640B"/>
    <w:rsid w:val="45BD34D6"/>
    <w:rsid w:val="461C5A65"/>
    <w:rsid w:val="46B77052"/>
    <w:rsid w:val="496134CF"/>
    <w:rsid w:val="4AAE3621"/>
    <w:rsid w:val="4B4E6081"/>
    <w:rsid w:val="4BB52C2B"/>
    <w:rsid w:val="4BFB77E6"/>
    <w:rsid w:val="4C6C4E4B"/>
    <w:rsid w:val="507C0B51"/>
    <w:rsid w:val="51170F22"/>
    <w:rsid w:val="51FA0E73"/>
    <w:rsid w:val="522170ED"/>
    <w:rsid w:val="524C013D"/>
    <w:rsid w:val="53554580"/>
    <w:rsid w:val="539369CD"/>
    <w:rsid w:val="54512A17"/>
    <w:rsid w:val="54512BD5"/>
    <w:rsid w:val="54AF1636"/>
    <w:rsid w:val="54CC0471"/>
    <w:rsid w:val="564D2375"/>
    <w:rsid w:val="58051507"/>
    <w:rsid w:val="580A1E7E"/>
    <w:rsid w:val="59504241"/>
    <w:rsid w:val="59A23706"/>
    <w:rsid w:val="5D9D670F"/>
    <w:rsid w:val="5E484523"/>
    <w:rsid w:val="5EE26A83"/>
    <w:rsid w:val="5F087192"/>
    <w:rsid w:val="5F9908D3"/>
    <w:rsid w:val="60220DA3"/>
    <w:rsid w:val="60804848"/>
    <w:rsid w:val="609858DA"/>
    <w:rsid w:val="60F0652C"/>
    <w:rsid w:val="621B4D9D"/>
    <w:rsid w:val="623B6071"/>
    <w:rsid w:val="625925B0"/>
    <w:rsid w:val="62E06C06"/>
    <w:rsid w:val="634545C6"/>
    <w:rsid w:val="63511C3C"/>
    <w:rsid w:val="64CD5079"/>
    <w:rsid w:val="65180AF8"/>
    <w:rsid w:val="658E01D2"/>
    <w:rsid w:val="65F233A4"/>
    <w:rsid w:val="672A359D"/>
    <w:rsid w:val="68CB6B9E"/>
    <w:rsid w:val="693F4417"/>
    <w:rsid w:val="6A2660A5"/>
    <w:rsid w:val="6CB67C55"/>
    <w:rsid w:val="6D3711EA"/>
    <w:rsid w:val="6DAA0692"/>
    <w:rsid w:val="6DC90443"/>
    <w:rsid w:val="6E456695"/>
    <w:rsid w:val="6E6A2FD2"/>
    <w:rsid w:val="6EAF71FA"/>
    <w:rsid w:val="6FAB43AB"/>
    <w:rsid w:val="70827584"/>
    <w:rsid w:val="720C1983"/>
    <w:rsid w:val="73230A5C"/>
    <w:rsid w:val="73F046E1"/>
    <w:rsid w:val="74675E10"/>
    <w:rsid w:val="749B52F9"/>
    <w:rsid w:val="76C115F0"/>
    <w:rsid w:val="76D8555B"/>
    <w:rsid w:val="7760497B"/>
    <w:rsid w:val="778E169F"/>
    <w:rsid w:val="78515187"/>
    <w:rsid w:val="78F92664"/>
    <w:rsid w:val="7994426A"/>
    <w:rsid w:val="799F1651"/>
    <w:rsid w:val="7B7E5614"/>
    <w:rsid w:val="7B8266F6"/>
    <w:rsid w:val="7D2815B0"/>
    <w:rsid w:val="7D782E90"/>
    <w:rsid w:val="7DBE21B9"/>
    <w:rsid w:val="7EB330B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0"/>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8">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rPr>
  </w:style>
  <w:style w:type="character" w:customStyle="1" w:styleId="9">
    <w:name w:val="head31"/>
    <w:basedOn w:val="6"/>
    <w:qFormat/>
    <w:uiPriority w:val="0"/>
    <w:rPr>
      <w:rFonts w:hint="eastAsia" w:ascii="宋体" w:hAnsi="宋体" w:eastAsia="宋体" w:cs="宋体"/>
      <w:color w:val="CC3300"/>
      <w:sz w:val="27"/>
      <w:szCs w:val="27"/>
      <w:u w:val="none"/>
    </w:rPr>
  </w:style>
  <w:style w:type="character" w:customStyle="1" w:styleId="10">
    <w:name w:val="标题 1 Char"/>
    <w:link w:val="2"/>
    <w:qFormat/>
    <w:uiPriority w:val="0"/>
    <w:rPr>
      <w:b/>
      <w:kern w:val="44"/>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2016-11-21T00:24:00Z</dcterms:created>
  <dc:creator>Administrator</dc:creator>
  <cp:lastModifiedBy>Administrator</cp:lastModifiedBy>
  <cp:lastPrinted>2017-08-29T08:26:00Z</cp:lastPrinted>
  <dcterms:modified xsi:type="dcterms:W3CDTF">2018-07-13T04:03:30Z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