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保靖县卫生计生综合监督执法局部门整体支出绩效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自评报告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一、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单位基本情况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保靖县卫生监督所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</w:rPr>
        <w:t>县卫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管理的</w:t>
      </w:r>
      <w:r>
        <w:rPr>
          <w:rFonts w:hint="eastAsia" w:ascii="仿宋_GB2312" w:hAnsi="仿宋_GB2312" w:eastAsia="仿宋_GB2312" w:cs="仿宋_GB2312"/>
          <w:sz w:val="28"/>
          <w:szCs w:val="28"/>
        </w:rPr>
        <w:t>副科级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全额</w:t>
      </w:r>
      <w:r>
        <w:rPr>
          <w:rFonts w:hint="eastAsia" w:ascii="仿宋_GB2312" w:hAnsi="仿宋_GB2312" w:eastAsia="仿宋_GB2312" w:cs="仿宋_GB2312"/>
          <w:sz w:val="28"/>
          <w:szCs w:val="28"/>
        </w:rPr>
        <w:t>事业单位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，参照公务员管理。于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2006年8月正式挂牌成立，</w:t>
      </w:r>
      <w:r>
        <w:rPr>
          <w:rFonts w:hint="eastAsia" w:ascii="仿宋_GB2312" w:hAnsi="仿宋_GB2312" w:eastAsia="仿宋_GB2312" w:cs="仿宋_GB2312"/>
          <w:sz w:val="28"/>
          <w:szCs w:val="28"/>
        </w:rPr>
        <w:t>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核定</w:t>
      </w:r>
      <w:r>
        <w:rPr>
          <w:rFonts w:hint="eastAsia" w:ascii="仿宋_GB2312" w:hAnsi="仿宋_GB2312" w:eastAsia="仿宋_GB2312" w:cs="仿宋_GB2312"/>
          <w:sz w:val="28"/>
          <w:szCs w:val="28"/>
        </w:rPr>
        <w:t>24个编制，实际在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7月，县编办下文撤销保靖县人口和计划生育社会抚养征收局，将其职能、人员编制划入保靖县卫生监督所，同时将保靖县卫生监督所更名为保靖县卫生计生综合监督执法局,核定行政事业编33人，在编人员29人，退休1人，其中参照公务员管理24人，事业编制人员9人。</w:t>
      </w:r>
      <w:bookmarkStart w:id="0" w:name="_GoBack"/>
      <w:bookmarkEnd w:id="0"/>
    </w:p>
    <w:p>
      <w:pPr>
        <w:spacing w:line="500" w:lineRule="exact"/>
        <w:ind w:firstLine="602" w:firstLineChars="200"/>
        <w:textAlignment w:val="baseline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、单位职能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>组织拟定辖区内卫生监督执法工作计划并进行实施及督查；负责开展卫生法律、法规知识宣传、咨询并对卫生监督信息收集、整理、分析上报；负责管辖内卫生许可和执业许可的申请受理、初审、上报和批准后证书发放的具体工作；负责全县传染病防治工作的督查；对卫生污染、中毒事故等重大突发公共卫生事件等进行调查取证，采取必要的控制措施，提出处理意见；对新、改、扩建工程的选址、设计进行卫生审查和竣工验收；组织现场监督检测采样工作；承担人民政府和上级卫生行政部门交付的其他任务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部门整体支出绩效评价分析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1、投入</w:t>
      </w:r>
    </w:p>
    <w:p>
      <w:pPr>
        <w:numPr>
          <w:ilvl w:val="0"/>
          <w:numId w:val="0"/>
        </w:numPr>
        <w:ind w:firstLine="63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（1）、目标设定</w:t>
      </w:r>
    </w:p>
    <w:p>
      <w:pPr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绩效目标合理性（3分）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本单位部门所设立的整体绩效目标符合国家法律法规、国民经济和社会发展总体规划；符合部门“三定”方案确定的职责；也符合部门制定的中长期实施规划。根据评价标准该项指标得分3分。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绩效指标明确性（3分）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本单位将部门整体的绩效目标细化分解为具体的工作任务；通过清晰、可衡量的指标予以体现；与部门年度的任务数或计划数相对应；与本年度部门预算资金相匹配。根据评价标准该项指标得分3分。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（2）、预算配置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在职人员控制率（3分）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本单位2018年年末实际在职人员为23人，而编委核定的在职人数为33人，实际在职人员数占编委核定的编制数的比率=（在职人员数÷编制数）×100%=69%，根据评价标准该项指标得分3分。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“三公经费”变动率（4分）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本单位2018年度预算安排“三公经费”总额为5万元，本年度“三公经费”变动率=（本年度“三公经费”预算数－上年度“三公经费”预算数）÷上年度“三公经费”预算数×100%= -9。根据评价标准该项指标得分4分。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2、过程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（1）、预算执行情况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预算完成率（5分）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上年没有结余和结转，2018年初预算180万元，本年追加预算0万元，年末没有结转和结余；本年度预算完成率=（上年度结转＋年初预算＋本年追加预算－年末结余）÷（上年结转＋年初预算＋本年追加预算）×100%=100%。根据评价标准该项指标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预算控制率（5分）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本单位本年预算追加数为0万元，年初预算数为180万元，预算控制率=（本年预算追加数÷年初预算数）×100%=0。根据评价标准该项指标得分5分。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新建楼堂馆所面积控制率（5分）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本单位2018年度无完工的新建楼堂馆所 ，根据评价标准该项指标得5分。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新建楼堂馆所投资概算控制率（5分）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本单位2018年度无完工的新建楼堂馆所，根据评价标准该项指标得5分。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（2）、预算管理情况</w:t>
      </w:r>
    </w:p>
    <w:p>
      <w:pPr>
        <w:numPr>
          <w:ilvl w:val="0"/>
          <w:numId w:val="0"/>
        </w:numPr>
        <w:ind w:firstLine="30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公用经费控制率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（8分）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2018年度本单位实际公用经费支出为15万元，年初预算安排公用经费为15万元，公用经费控制率=（实际支出公用经费总额÷预算安排公用经费总额）×100%=100%。根据评价标准该项指标得8分。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“三公经费”控制率（8分）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2018年度本单位“三公经费”实际支出数为5万元，均为公务接待费，“三公经费”年初预算数为5万元，“三公经费”控制率=（“三公经费”实际支出数÷“三公经费”预算安排数）×100%=75% 。根据评价标准该项指标得分8分。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政府采购执行率（6分）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2018年度本单位无政府采购项目，根据评价标准该项指标得分6分。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管理制度健全性（8分）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本单位为加强预算管理、规范财务行为特制定了内部财务管理制度、会计核算制度、本单位厉行节约制度等；相关管理制度合法、合规、完整并得到了有效执行。根据评价标准该项指标得分8分。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资金使用合规性（6分）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本单位预算资金符合相关的预算财务管理制度的规定，资金使用无截留、挤占、挪用、虚列支出等情况。根据评价标准该项指标得分6分。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预决算信息公开性（5分） 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本单位按规定内容、规定时限公开预决算信息，基础数据信息和会计信息资料真实、完整。根据评价标准该项指标得分5分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3、产出及效率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（1）、职责履行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、重点工作实际完成率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（8分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2018年绩效办对本单位工作考核得满分，该项得分=（绩效办对应部分考核得分÷100%）÷8。根据评价标准该项得8分</w:t>
      </w:r>
      <w:r>
        <w:rPr>
          <w:rFonts w:hint="eastAsia" w:ascii="Arial" w:hAnsi="Arial" w:eastAsia="宋体" w:cs="Arial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（2）、履职效益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社会效益（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本单位对辖区内卫生监督执法工作计划并进行实施及督查，社会效益好。根据评价标准该项得5分。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行政效能（6分）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本单位实施电话通知、微信通知；上报（微信、QQ邮箱）；改进会风、减少会议次数。根据评价标准该项得分6分。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、社会公众或服务对象满意度（6分）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本单位及相关部门未接到一起对本单位的投诉举报，满意度100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％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根据评价标准该项得分6分。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四、绩效评价结论</w:t>
      </w:r>
    </w:p>
    <w:p>
      <w:pPr>
        <w:numPr>
          <w:ilvl w:val="0"/>
          <w:numId w:val="0"/>
        </w:numPr>
        <w:ind w:firstLine="42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根据评价指标体系测算，本单位2018年度部门整体支出绩效评价得分是：投入成绩为13分，过程绩效为61分，产出及效率绩效为25分，总成绩为99分。评价等级为“优”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预算资金严重不足，不能满足监督工作开展的需要，建议增加预算经费。</w:t>
      </w: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保靖县卫生计生综合监督执法局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2019年7月18日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FDD1"/>
    <w:multiLevelType w:val="singleLevel"/>
    <w:tmpl w:val="599CFDD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4187"/>
    <w:rsid w:val="03E74C25"/>
    <w:rsid w:val="119E643E"/>
    <w:rsid w:val="1A83507A"/>
    <w:rsid w:val="1FF335ED"/>
    <w:rsid w:val="336D3B8F"/>
    <w:rsid w:val="352851FB"/>
    <w:rsid w:val="3AD902AA"/>
    <w:rsid w:val="40904187"/>
    <w:rsid w:val="4A460E1A"/>
    <w:rsid w:val="5169440E"/>
    <w:rsid w:val="55CD4F86"/>
    <w:rsid w:val="588751FD"/>
    <w:rsid w:val="58C2170D"/>
    <w:rsid w:val="60230C02"/>
    <w:rsid w:val="62967646"/>
    <w:rsid w:val="6B4F2DF9"/>
    <w:rsid w:val="76393297"/>
    <w:rsid w:val="7C5B1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2017-08-23T03:06:00Z</dcterms:created>
  <dc:creator>Administrator</dc:creator>
  <cp:lastModifiedBy>阿娴</cp:lastModifiedBy>
  <cp:lastPrinted>2019-07-17T09:17:00Z</cp:lastPrinted>
  <dcterms:modified xsi:type="dcterms:W3CDTF">2019-07-18T01:24:05Z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