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highlight w:val="none"/>
        </w:rPr>
      </w:pPr>
      <w:bookmarkStart w:id="0" w:name="_GoBack"/>
      <w:bookmarkEnd w:id="0"/>
      <w:r>
        <w:rPr>
          <w:rFonts w:hint="eastAsia" w:asciiTheme="majorEastAsia" w:hAnsiTheme="majorEastAsia" w:eastAsiaTheme="majorEastAsia" w:cstheme="majorEastAsia"/>
          <w:b/>
          <w:bCs/>
          <w:color w:val="auto"/>
          <w:sz w:val="44"/>
          <w:szCs w:val="44"/>
        </w:rPr>
        <w:t>保</w:t>
      </w:r>
      <w:r>
        <w:rPr>
          <w:rFonts w:hint="eastAsia" w:asciiTheme="majorEastAsia" w:hAnsiTheme="majorEastAsia" w:eastAsiaTheme="majorEastAsia" w:cstheme="majorEastAsia"/>
          <w:b/>
          <w:bCs/>
          <w:color w:val="auto"/>
          <w:sz w:val="44"/>
          <w:szCs w:val="44"/>
          <w:highlight w:val="none"/>
        </w:rPr>
        <w:t>靖县政务中心201</w:t>
      </w:r>
      <w:r>
        <w:rPr>
          <w:rFonts w:hint="eastAsia" w:asciiTheme="majorEastAsia" w:hAnsiTheme="majorEastAsia" w:eastAsiaTheme="majorEastAsia" w:cstheme="majorEastAsia"/>
          <w:b/>
          <w:bCs/>
          <w:color w:val="auto"/>
          <w:sz w:val="44"/>
          <w:szCs w:val="44"/>
          <w:highlight w:val="none"/>
          <w:lang w:val="en-US" w:eastAsia="zh-CN"/>
        </w:rPr>
        <w:t>9</w:t>
      </w:r>
      <w:r>
        <w:rPr>
          <w:rFonts w:hint="eastAsia" w:asciiTheme="majorEastAsia" w:hAnsiTheme="majorEastAsia" w:eastAsiaTheme="majorEastAsia" w:cstheme="majorEastAsia"/>
          <w:b/>
          <w:bCs/>
          <w:color w:val="auto"/>
          <w:sz w:val="44"/>
          <w:szCs w:val="44"/>
          <w:highlight w:val="none"/>
        </w:rPr>
        <w:t>年财政性资金</w:t>
      </w:r>
    </w:p>
    <w:p>
      <w:pPr>
        <w:jc w:val="center"/>
        <w:rPr>
          <w:rFonts w:hint="eastAsia" w:asciiTheme="majorEastAsia" w:hAnsiTheme="majorEastAsia" w:eastAsiaTheme="majorEastAsia" w:cstheme="majorEastAsia"/>
          <w:b/>
          <w:bCs/>
          <w:color w:val="auto"/>
          <w:sz w:val="44"/>
          <w:szCs w:val="44"/>
          <w:highlight w:val="none"/>
        </w:rPr>
      </w:pPr>
      <w:r>
        <w:rPr>
          <w:rFonts w:hint="eastAsia" w:asciiTheme="majorEastAsia" w:hAnsiTheme="majorEastAsia" w:eastAsiaTheme="majorEastAsia" w:cstheme="majorEastAsia"/>
          <w:b/>
          <w:bCs/>
          <w:color w:val="auto"/>
          <w:sz w:val="44"/>
          <w:szCs w:val="44"/>
          <w:highlight w:val="none"/>
        </w:rPr>
        <w:t>绩效评价报告</w:t>
      </w:r>
    </w:p>
    <w:p>
      <w:pPr>
        <w:ind w:firstLine="960" w:firstLineChars="300"/>
        <w:rPr>
          <w:rFonts w:ascii="仿宋" w:hAnsi="仿宋" w:eastAsia="仿宋"/>
          <w:color w:val="auto"/>
          <w:sz w:val="32"/>
          <w:szCs w:val="32"/>
          <w:highlight w:val="none"/>
        </w:rPr>
      </w:pPr>
    </w:p>
    <w:p>
      <w:pPr>
        <w:keepNext w:val="0"/>
        <w:keepLines w:val="0"/>
        <w:pageBreakBefore w:val="0"/>
        <w:kinsoku/>
        <w:wordWrap/>
        <w:overflowPunct/>
        <w:topLinePunct w:val="0"/>
        <w:autoSpaceDE/>
        <w:autoSpaceDN/>
        <w:bidi w:val="0"/>
        <w:adjustRightInd/>
        <w:spacing w:line="560" w:lineRule="exact"/>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为进一步规范财政资金管理,强化部门责任意识,切实提高财政资金使用效益,根据保靖县财政局保</w:t>
      </w:r>
      <w:r>
        <w:rPr>
          <w:rFonts w:hint="eastAsia" w:ascii="仿宋_GB2312" w:hAnsi="仿宋_GB2312" w:eastAsia="仿宋_GB2312" w:cs="仿宋_GB2312"/>
          <w:color w:val="auto"/>
          <w:sz w:val="32"/>
          <w:szCs w:val="32"/>
          <w:highlight w:val="none"/>
          <w:lang w:eastAsia="zh-CN"/>
        </w:rPr>
        <w:t>财</w:t>
      </w:r>
      <w:r>
        <w:rPr>
          <w:rFonts w:hint="eastAsia" w:ascii="仿宋_GB2312" w:hAnsi="仿宋_GB2312" w:eastAsia="仿宋_GB2312" w:cs="仿宋_GB2312"/>
          <w:color w:val="auto"/>
          <w:sz w:val="32"/>
          <w:szCs w:val="32"/>
          <w:highlight w:val="none"/>
        </w:rPr>
        <w:t>绩﹝20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号文件《保靖县财政局关于开展201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年度财政性资金绩效评价的通知》相关规定,保靖县政务中心组织力量对201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年度部门预算整体支出绩效评价,现将情况汇报如下:</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一、基本概况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全额预算单位,参公制度管理,财务核算执行行政单位会计制度,下设3个股室,参公</w:t>
      </w:r>
      <w:r>
        <w:rPr>
          <w:rFonts w:hint="eastAsia" w:ascii="仿宋_GB2312" w:hAnsi="仿宋_GB2312" w:eastAsia="仿宋_GB2312" w:cs="仿宋_GB2312"/>
          <w:color w:val="auto"/>
          <w:sz w:val="32"/>
          <w:szCs w:val="32"/>
          <w:highlight w:val="none"/>
          <w:lang w:eastAsia="zh-CN"/>
        </w:rPr>
        <w:t>编制</w:t>
      </w: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eastAsia="zh-CN"/>
        </w:rPr>
        <w:t>人。</w:t>
      </w:r>
    </w:p>
    <w:p>
      <w:pPr>
        <w:pStyle w:val="10"/>
        <w:keepNext w:val="0"/>
        <w:keepLines w:val="0"/>
        <w:pageBreakBefore w:val="0"/>
        <w:numPr>
          <w:ilvl w:val="0"/>
          <w:numId w:val="1"/>
        </w:numPr>
        <w:kinsoku/>
        <w:wordWrap/>
        <w:overflowPunct/>
        <w:topLinePunct w:val="0"/>
        <w:autoSpaceDE/>
        <w:autoSpaceDN/>
        <w:bidi w:val="0"/>
        <w:adjustRightInd/>
        <w:spacing w:line="560" w:lineRule="exact"/>
        <w:ind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人员编制</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核准人员编制总计8人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度末在职</w:t>
      </w:r>
      <w:r>
        <w:rPr>
          <w:rFonts w:hint="eastAsia" w:ascii="仿宋_GB2312" w:hAnsi="仿宋_GB2312" w:eastAsia="仿宋_GB2312" w:cs="仿宋_GB2312"/>
          <w:color w:val="auto"/>
          <w:sz w:val="32"/>
          <w:szCs w:val="32"/>
          <w:highlight w:val="none"/>
        </w:rPr>
        <w:t>预算人员</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预算人员数控制在核定人员编制职数范围内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我单位无离退休人员</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numPr>
          <w:ilvl w:val="0"/>
          <w:numId w:val="1"/>
        </w:numPr>
        <w:kinsoku/>
        <w:wordWrap/>
        <w:overflowPunct/>
        <w:topLinePunct w:val="0"/>
        <w:autoSpaceDE/>
        <w:autoSpaceDN/>
        <w:bidi w:val="0"/>
        <w:adjustRightInd/>
        <w:spacing w:line="560" w:lineRule="exact"/>
        <w:ind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主要工作职能</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我中心主要职能:1、政务公开　2、全程代理　3、县长热线　4、一站式审批</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(三)主要工作任务</w:t>
      </w:r>
    </w:p>
    <w:p>
      <w:pPr>
        <w:keepNext w:val="0"/>
        <w:keepLines w:val="0"/>
        <w:pageBreakBefore w:val="0"/>
        <w:widowControl/>
        <w:kinsoku/>
        <w:wordWrap/>
        <w:overflowPunct/>
        <w:topLinePunct w:val="0"/>
        <w:autoSpaceDE/>
        <w:autoSpaceDN/>
        <w:bidi w:val="0"/>
        <w:adjustRightInd/>
        <w:spacing w:line="560" w:lineRule="exact"/>
        <w:ind w:firstLine="600"/>
        <w:jc w:val="left"/>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bidi="ar"/>
        </w:rPr>
        <w:t>1、切实抓好乡镇政务中心示范点建设2、切实完善中心规范化管理3、切实搞好省级示范点建设4、切实搞好电子政务网络建设5、切实提高“县长热线”办理水平6、深化“放管服”改革，做好“互联网+政务服务”一体化系统平台建设7、做好精准扶贫工作</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二、整体绩效目标情况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w:t>
      </w:r>
      <w:r>
        <w:rPr>
          <w:rFonts w:hint="eastAsia" w:ascii="仿宋_GB2312" w:hAnsi="仿宋_GB2312" w:eastAsia="仿宋_GB2312" w:cs="仿宋_GB2312"/>
          <w:b w:val="0"/>
          <w:bCs w:val="0"/>
          <w:color w:val="auto"/>
          <w:sz w:val="32"/>
          <w:szCs w:val="32"/>
          <w:highlight w:val="none"/>
          <w:lang w:val="en-US" w:eastAsia="zh-CN"/>
        </w:rPr>
        <w:t>2019年</w:t>
      </w:r>
      <w:r>
        <w:rPr>
          <w:rFonts w:hint="eastAsia" w:ascii="仿宋_GB2312" w:hAnsi="仿宋_GB2312" w:eastAsia="仿宋_GB2312" w:cs="仿宋_GB2312"/>
          <w:b w:val="0"/>
          <w:bCs w:val="0"/>
          <w:color w:val="auto"/>
          <w:sz w:val="32"/>
          <w:szCs w:val="32"/>
          <w:highlight w:val="none"/>
        </w:rPr>
        <w:t>预算情况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根据保财函</w:t>
      </w: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19</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lang w:val="en-US" w:eastAsia="zh-CN"/>
        </w:rPr>
        <w:t>76</w:t>
      </w:r>
      <w:r>
        <w:rPr>
          <w:rFonts w:hint="eastAsia" w:ascii="仿宋_GB2312" w:hAnsi="仿宋_GB2312" w:eastAsia="仿宋_GB2312" w:cs="仿宋_GB2312"/>
          <w:b w:val="0"/>
          <w:bCs w:val="0"/>
          <w:color w:val="auto"/>
          <w:sz w:val="32"/>
          <w:szCs w:val="32"/>
          <w:highlight w:val="none"/>
        </w:rPr>
        <w:t>号文件精神，</w:t>
      </w:r>
      <w:r>
        <w:rPr>
          <w:rFonts w:hint="eastAsia" w:ascii="仿宋_GB2312" w:hAnsi="仿宋_GB2312" w:eastAsia="仿宋_GB2312" w:cs="仿宋_GB2312"/>
          <w:b w:val="0"/>
          <w:bCs w:val="0"/>
          <w:color w:val="auto"/>
          <w:sz w:val="32"/>
          <w:szCs w:val="32"/>
          <w:highlight w:val="none"/>
          <w:lang w:eastAsia="zh-CN"/>
        </w:rPr>
        <w:t>县</w:t>
      </w:r>
      <w:r>
        <w:rPr>
          <w:rFonts w:hint="eastAsia" w:ascii="仿宋_GB2312" w:hAnsi="仿宋_GB2312" w:eastAsia="仿宋_GB2312" w:cs="仿宋_GB2312"/>
          <w:b w:val="0"/>
          <w:bCs w:val="0"/>
          <w:color w:val="auto"/>
          <w:sz w:val="32"/>
          <w:szCs w:val="32"/>
          <w:highlight w:val="none"/>
        </w:rPr>
        <w:t>财政局对</w:t>
      </w:r>
      <w:r>
        <w:rPr>
          <w:rFonts w:hint="eastAsia" w:ascii="仿宋_GB2312" w:hAnsi="仿宋_GB2312" w:eastAsia="仿宋_GB2312" w:cs="仿宋_GB2312"/>
          <w:b w:val="0"/>
          <w:bCs w:val="0"/>
          <w:color w:val="auto"/>
          <w:sz w:val="32"/>
          <w:szCs w:val="32"/>
          <w:highlight w:val="none"/>
          <w:lang w:eastAsia="zh-CN"/>
        </w:rPr>
        <w:t>县政府中心</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年部门预算批复如下：</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年总收入</w:t>
      </w:r>
      <w:r>
        <w:rPr>
          <w:rFonts w:hint="eastAsia" w:ascii="仿宋_GB2312" w:hAnsi="仿宋_GB2312" w:eastAsia="仿宋_GB2312" w:cs="仿宋_GB2312"/>
          <w:b w:val="0"/>
          <w:bCs w:val="0"/>
          <w:color w:val="auto"/>
          <w:sz w:val="32"/>
          <w:szCs w:val="32"/>
          <w:highlight w:val="none"/>
          <w:lang w:val="en-US" w:eastAsia="zh-CN"/>
        </w:rPr>
        <w:t>253.21</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w:t>
      </w: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val="0"/>
          <w:bCs w:val="0"/>
          <w:color w:val="auto"/>
          <w:sz w:val="32"/>
          <w:szCs w:val="32"/>
          <w:highlight w:val="none"/>
          <w:lang w:eastAsia="zh-CN"/>
        </w:rPr>
        <w:t>包括：</w:t>
      </w:r>
      <w:r>
        <w:rPr>
          <w:rFonts w:hint="eastAsia" w:ascii="仿宋_GB2312" w:hAnsi="仿宋_GB2312" w:eastAsia="仿宋_GB2312" w:cs="仿宋_GB2312"/>
          <w:b w:val="0"/>
          <w:bCs w:val="0"/>
          <w:color w:val="auto"/>
          <w:sz w:val="32"/>
          <w:szCs w:val="32"/>
          <w:highlight w:val="none"/>
        </w:rPr>
        <w:t>一般公共预算拨款</w:t>
      </w:r>
      <w:r>
        <w:rPr>
          <w:rFonts w:hint="eastAsia" w:ascii="仿宋_GB2312" w:hAnsi="仿宋_GB2312" w:eastAsia="仿宋_GB2312" w:cs="仿宋_GB2312"/>
          <w:b w:val="0"/>
          <w:bCs w:val="0"/>
          <w:color w:val="auto"/>
          <w:sz w:val="32"/>
          <w:szCs w:val="32"/>
          <w:highlight w:val="none"/>
          <w:lang w:eastAsia="zh-CN"/>
        </w:rPr>
        <w:t>收入</w:t>
      </w:r>
      <w:r>
        <w:rPr>
          <w:rFonts w:hint="eastAsia" w:ascii="仿宋_GB2312" w:hAnsi="仿宋_GB2312" w:eastAsia="仿宋_GB2312" w:cs="仿宋_GB2312"/>
          <w:b w:val="0"/>
          <w:bCs w:val="0"/>
          <w:color w:val="auto"/>
          <w:sz w:val="32"/>
          <w:szCs w:val="32"/>
          <w:highlight w:val="none"/>
          <w:lang w:val="en-US" w:eastAsia="zh-CN"/>
        </w:rPr>
        <w:t>103.21</w:t>
      </w:r>
      <w:r>
        <w:rPr>
          <w:rFonts w:hint="eastAsia" w:ascii="仿宋_GB2312" w:hAnsi="仿宋_GB2312" w:eastAsia="仿宋_GB2312" w:cs="仿宋_GB2312"/>
          <w:b w:val="0"/>
          <w:bCs w:val="0"/>
          <w:color w:val="auto"/>
          <w:sz w:val="32"/>
          <w:szCs w:val="32"/>
          <w:highlight w:val="none"/>
        </w:rPr>
        <w:t>万元（含纳入预算管理的非税拨款收入0元），政府性基金预算拨款收入</w:t>
      </w:r>
      <w:r>
        <w:rPr>
          <w:rFonts w:hint="eastAsia" w:ascii="仿宋_GB2312" w:hAnsi="仿宋_GB2312" w:eastAsia="仿宋_GB2312" w:cs="仿宋_GB2312"/>
          <w:b w:val="0"/>
          <w:bCs w:val="0"/>
          <w:color w:val="auto"/>
          <w:sz w:val="32"/>
          <w:szCs w:val="32"/>
          <w:highlight w:val="none"/>
          <w:lang w:val="en-US" w:eastAsia="zh-CN"/>
        </w:rPr>
        <w:t>150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，纳入财政专户管理的非税拨款收入</w:t>
      </w:r>
      <w:r>
        <w:rPr>
          <w:rFonts w:hint="eastAsia" w:ascii="仿宋_GB2312" w:hAnsi="仿宋_GB2312" w:eastAsia="仿宋_GB2312" w:cs="仿宋_GB2312"/>
          <w:b w:val="0"/>
          <w:bCs w:val="0"/>
          <w:color w:val="auto"/>
          <w:sz w:val="32"/>
          <w:szCs w:val="32"/>
          <w:highlight w:val="none"/>
          <w:lang w:val="en-US" w:eastAsia="zh-CN"/>
        </w:rPr>
        <w:t>0元。</w:t>
      </w:r>
    </w:p>
    <w:p>
      <w:pPr>
        <w:keepNext w:val="0"/>
        <w:keepLines w:val="0"/>
        <w:pageBreakBefore w:val="0"/>
        <w:kinsoku/>
        <w:wordWrap/>
        <w:overflowPunct/>
        <w:topLinePunct w:val="0"/>
        <w:autoSpaceDE/>
        <w:autoSpaceDN/>
        <w:bidi w:val="0"/>
        <w:adjustRightInd/>
        <w:spacing w:line="560" w:lineRule="exact"/>
        <w:ind w:left="220" w:leftChars="0"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年总支出</w:t>
      </w:r>
      <w:r>
        <w:rPr>
          <w:rFonts w:hint="eastAsia" w:ascii="仿宋_GB2312" w:hAnsi="仿宋_GB2312" w:eastAsia="仿宋_GB2312" w:cs="仿宋_GB2312"/>
          <w:b w:val="0"/>
          <w:bCs w:val="0"/>
          <w:color w:val="auto"/>
          <w:sz w:val="32"/>
          <w:szCs w:val="32"/>
          <w:highlight w:val="none"/>
          <w:lang w:val="en-US" w:eastAsia="zh-CN"/>
        </w:rPr>
        <w:t>253.21</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w:t>
      </w: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val="0"/>
          <w:bCs w:val="0"/>
          <w:color w:val="auto"/>
          <w:sz w:val="32"/>
          <w:szCs w:val="32"/>
          <w:highlight w:val="none"/>
          <w:lang w:eastAsia="zh-CN"/>
        </w:rPr>
        <w:t>包括：</w:t>
      </w:r>
      <w:r>
        <w:rPr>
          <w:rFonts w:hint="eastAsia" w:ascii="仿宋_GB2312" w:hAnsi="仿宋_GB2312" w:eastAsia="仿宋_GB2312" w:cs="仿宋_GB2312"/>
          <w:b w:val="0"/>
          <w:bCs w:val="0"/>
          <w:color w:val="auto"/>
          <w:sz w:val="32"/>
          <w:szCs w:val="32"/>
          <w:highlight w:val="none"/>
        </w:rPr>
        <w:t>工资福利支出</w:t>
      </w:r>
      <w:r>
        <w:rPr>
          <w:rFonts w:hint="eastAsia" w:ascii="仿宋_GB2312" w:hAnsi="仿宋_GB2312" w:eastAsia="仿宋_GB2312" w:cs="仿宋_GB2312"/>
          <w:b w:val="0"/>
          <w:bCs w:val="0"/>
          <w:color w:val="auto"/>
          <w:sz w:val="32"/>
          <w:szCs w:val="32"/>
          <w:highlight w:val="none"/>
          <w:lang w:val="en-US" w:eastAsia="zh-CN"/>
        </w:rPr>
        <w:t>84.33</w:t>
      </w:r>
      <w:r>
        <w:rPr>
          <w:rFonts w:hint="eastAsia" w:ascii="仿宋_GB2312" w:hAnsi="仿宋_GB2312" w:eastAsia="仿宋_GB2312" w:cs="仿宋_GB2312"/>
          <w:b w:val="0"/>
          <w:bCs w:val="0"/>
          <w:color w:val="auto"/>
          <w:sz w:val="32"/>
          <w:szCs w:val="32"/>
          <w:highlight w:val="none"/>
        </w:rPr>
        <w:t>万元，对个人和家庭</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补助</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车补</w:t>
      </w:r>
      <w:r>
        <w:rPr>
          <w:rFonts w:hint="eastAsia" w:ascii="仿宋_GB2312" w:hAnsi="仿宋_GB2312" w:eastAsia="仿宋_GB2312" w:cs="仿宋_GB2312"/>
          <w:b w:val="0"/>
          <w:bCs w:val="0"/>
          <w:color w:val="auto"/>
          <w:sz w:val="32"/>
          <w:szCs w:val="32"/>
          <w:highlight w:val="none"/>
          <w:lang w:val="en-US" w:eastAsia="zh-CN"/>
        </w:rPr>
        <w:t>6.48万元，</w:t>
      </w:r>
      <w:r>
        <w:rPr>
          <w:rFonts w:hint="eastAsia" w:ascii="仿宋_GB2312" w:hAnsi="仿宋_GB2312" w:eastAsia="仿宋_GB2312" w:cs="仿宋_GB2312"/>
          <w:b w:val="0"/>
          <w:bCs w:val="0"/>
          <w:color w:val="auto"/>
          <w:sz w:val="32"/>
          <w:szCs w:val="32"/>
          <w:highlight w:val="none"/>
        </w:rPr>
        <w:t>公用经费</w:t>
      </w:r>
      <w:r>
        <w:rPr>
          <w:rFonts w:hint="eastAsia" w:ascii="仿宋_GB2312" w:hAnsi="仿宋_GB2312"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万元，单位专项</w:t>
      </w:r>
      <w:r>
        <w:rPr>
          <w:rFonts w:hint="eastAsia" w:ascii="仿宋_GB2312" w:hAnsi="仿宋_GB2312" w:eastAsia="仿宋_GB2312" w:cs="仿宋_GB2312"/>
          <w:b w:val="0"/>
          <w:bCs w:val="0"/>
          <w:color w:val="auto"/>
          <w:sz w:val="32"/>
          <w:szCs w:val="32"/>
          <w:highlight w:val="none"/>
          <w:lang w:eastAsia="zh-CN"/>
        </w:rPr>
        <w:t>经费</w:t>
      </w:r>
      <w:r>
        <w:rPr>
          <w:rFonts w:hint="eastAsia" w:ascii="仿宋_GB2312" w:hAnsi="仿宋_GB2312" w:eastAsia="仿宋_GB2312" w:cs="仿宋_GB2312"/>
          <w:b w:val="0"/>
          <w:bCs w:val="0"/>
          <w:color w:val="auto"/>
          <w:sz w:val="32"/>
          <w:szCs w:val="32"/>
          <w:highlight w:val="none"/>
          <w:lang w:val="en-US" w:eastAsia="zh-CN"/>
        </w:rPr>
        <w:t>156</w:t>
      </w:r>
      <w:r>
        <w:rPr>
          <w:rFonts w:hint="eastAsia" w:ascii="仿宋_GB2312" w:hAnsi="仿宋_GB2312" w:eastAsia="仿宋_GB2312" w:cs="仿宋_GB2312"/>
          <w:b w:val="0"/>
          <w:bCs w:val="0"/>
          <w:color w:val="auto"/>
          <w:sz w:val="32"/>
          <w:szCs w:val="32"/>
          <w:highlight w:val="none"/>
        </w:rPr>
        <w:t>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年度收支及结余决算情况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年部门决算收支总体情况</w:t>
      </w:r>
    </w:p>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收入总体情况：年初结转结余</w:t>
      </w:r>
      <w:r>
        <w:rPr>
          <w:rFonts w:hint="eastAsia" w:ascii="仿宋_GB2312" w:hAnsi="仿宋_GB2312" w:eastAsia="仿宋_GB2312" w:cs="仿宋_GB2312"/>
          <w:b w:val="0"/>
          <w:bCs w:val="0"/>
          <w:color w:val="auto"/>
          <w:sz w:val="32"/>
          <w:szCs w:val="32"/>
          <w:highlight w:val="none"/>
          <w:lang w:val="en-US" w:eastAsia="zh-CN"/>
        </w:rPr>
        <w:t>171.71</w:t>
      </w:r>
      <w:r>
        <w:rPr>
          <w:rFonts w:hint="eastAsia" w:ascii="仿宋_GB2312" w:hAnsi="仿宋_GB2312" w:eastAsia="仿宋_GB2312" w:cs="仿宋_GB2312"/>
          <w:b w:val="0"/>
          <w:bCs w:val="0"/>
          <w:color w:val="auto"/>
          <w:sz w:val="32"/>
          <w:szCs w:val="32"/>
          <w:highlight w:val="none"/>
        </w:rPr>
        <w:t>万元，201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年度收入</w:t>
      </w:r>
      <w:r>
        <w:rPr>
          <w:rFonts w:hint="eastAsia" w:ascii="仿宋_GB2312" w:hAnsi="仿宋_GB2312" w:eastAsia="仿宋_GB2312" w:cs="仿宋_GB2312"/>
          <w:b w:val="0"/>
          <w:bCs w:val="0"/>
          <w:color w:val="auto"/>
          <w:sz w:val="32"/>
          <w:szCs w:val="32"/>
          <w:highlight w:val="none"/>
          <w:lang w:val="en-US" w:eastAsia="zh-CN"/>
        </w:rPr>
        <w:t>310.86</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其中一般公共</w:t>
      </w:r>
      <w:r>
        <w:rPr>
          <w:rFonts w:hint="eastAsia" w:ascii="仿宋_GB2312" w:hAnsi="仿宋_GB2312" w:eastAsia="仿宋_GB2312" w:cs="仿宋_GB2312"/>
          <w:b w:val="0"/>
          <w:bCs w:val="0"/>
          <w:color w:val="auto"/>
          <w:sz w:val="32"/>
          <w:szCs w:val="32"/>
          <w:highlight w:val="none"/>
          <w:lang w:eastAsia="zh-CN"/>
        </w:rPr>
        <w:t>预算财政拨款</w:t>
      </w:r>
      <w:r>
        <w:rPr>
          <w:rFonts w:hint="eastAsia" w:ascii="仿宋_GB2312" w:hAnsi="仿宋_GB2312" w:eastAsia="仿宋_GB2312" w:cs="仿宋_GB2312"/>
          <w:b w:val="0"/>
          <w:bCs w:val="0"/>
          <w:color w:val="auto"/>
          <w:sz w:val="32"/>
          <w:szCs w:val="32"/>
          <w:highlight w:val="none"/>
        </w:rPr>
        <w:t>收入</w:t>
      </w:r>
      <w:r>
        <w:rPr>
          <w:rFonts w:hint="eastAsia" w:ascii="仿宋_GB2312" w:hAnsi="仿宋_GB2312" w:eastAsia="仿宋_GB2312" w:cs="仿宋_GB2312"/>
          <w:b w:val="0"/>
          <w:bCs w:val="0"/>
          <w:color w:val="auto"/>
          <w:sz w:val="32"/>
          <w:szCs w:val="32"/>
          <w:highlight w:val="none"/>
          <w:lang w:val="en-US" w:eastAsia="zh-CN"/>
        </w:rPr>
        <w:t>250.6</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政府性基金</w:t>
      </w:r>
      <w:r>
        <w:rPr>
          <w:rFonts w:hint="eastAsia" w:ascii="仿宋_GB2312" w:hAnsi="仿宋_GB2312" w:eastAsia="仿宋_GB2312" w:cs="仿宋_GB2312"/>
          <w:b w:val="0"/>
          <w:bCs w:val="0"/>
          <w:color w:val="auto"/>
          <w:sz w:val="32"/>
          <w:szCs w:val="32"/>
          <w:highlight w:val="none"/>
          <w:lang w:eastAsia="zh-CN"/>
        </w:rPr>
        <w:t>财政</w:t>
      </w:r>
      <w:r>
        <w:rPr>
          <w:rFonts w:hint="eastAsia" w:ascii="仿宋_GB2312" w:hAnsi="仿宋_GB2312" w:eastAsia="仿宋_GB2312" w:cs="仿宋_GB2312"/>
          <w:b w:val="0"/>
          <w:bCs w:val="0"/>
          <w:color w:val="auto"/>
          <w:sz w:val="32"/>
          <w:szCs w:val="32"/>
          <w:highlight w:val="none"/>
        </w:rPr>
        <w:t>预算拨款收入</w:t>
      </w:r>
      <w:r>
        <w:rPr>
          <w:rFonts w:hint="eastAsia" w:ascii="仿宋_GB2312" w:hAnsi="仿宋_GB2312" w:eastAsia="仿宋_GB2312" w:cs="仿宋_GB2312"/>
          <w:b w:val="0"/>
          <w:bCs w:val="0"/>
          <w:color w:val="auto"/>
          <w:sz w:val="32"/>
          <w:szCs w:val="32"/>
          <w:highlight w:val="none"/>
          <w:lang w:val="en-US" w:eastAsia="zh-CN"/>
        </w:rPr>
        <w:t>15.98</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；其他收入</w:t>
      </w:r>
      <w:r>
        <w:rPr>
          <w:rFonts w:hint="eastAsia" w:ascii="仿宋_GB2312" w:hAnsi="仿宋_GB2312" w:eastAsia="仿宋_GB2312" w:cs="仿宋_GB2312"/>
          <w:b w:val="0"/>
          <w:bCs w:val="0"/>
          <w:color w:val="auto"/>
          <w:sz w:val="32"/>
          <w:szCs w:val="32"/>
          <w:highlight w:val="none"/>
          <w:lang w:val="en-US" w:eastAsia="zh-CN"/>
        </w:rPr>
        <w:t>44.27万元</w:t>
      </w:r>
      <w:r>
        <w:rPr>
          <w:rFonts w:hint="eastAsia" w:ascii="仿宋_GB2312" w:hAnsi="仿宋_GB2312" w:eastAsia="仿宋_GB2312" w:cs="仿宋_GB2312"/>
          <w:b w:val="0"/>
          <w:bCs w:val="0"/>
          <w:color w:val="auto"/>
          <w:sz w:val="32"/>
          <w:szCs w:val="32"/>
          <w:highlight w:val="none"/>
        </w:rPr>
        <w:t>。</w:t>
      </w:r>
    </w:p>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支出总体情况：201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年总支出</w:t>
      </w:r>
      <w:r>
        <w:rPr>
          <w:rFonts w:hint="eastAsia" w:ascii="仿宋_GB2312" w:hAnsi="仿宋_GB2312" w:eastAsia="仿宋_GB2312" w:cs="仿宋_GB2312"/>
          <w:b w:val="0"/>
          <w:bCs w:val="0"/>
          <w:color w:val="auto"/>
          <w:sz w:val="32"/>
          <w:szCs w:val="32"/>
          <w:highlight w:val="none"/>
          <w:lang w:val="en-US" w:eastAsia="zh-CN"/>
        </w:rPr>
        <w:t>392.45</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val="0"/>
          <w:bCs w:val="0"/>
          <w:color w:val="auto"/>
          <w:sz w:val="32"/>
          <w:szCs w:val="32"/>
          <w:highlight w:val="none"/>
          <w:lang w:eastAsia="zh-CN"/>
        </w:rPr>
        <w:t>基本支出</w:t>
      </w:r>
      <w:r>
        <w:rPr>
          <w:rFonts w:hint="eastAsia" w:ascii="仿宋_GB2312" w:hAnsi="仿宋_GB2312" w:eastAsia="仿宋_GB2312" w:cs="仿宋_GB2312"/>
          <w:b w:val="0"/>
          <w:bCs w:val="0"/>
          <w:color w:val="auto"/>
          <w:sz w:val="32"/>
          <w:szCs w:val="32"/>
          <w:highlight w:val="none"/>
          <w:lang w:val="en-US" w:eastAsia="zh-CN"/>
        </w:rPr>
        <w:t>341.87</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，项目支出</w:t>
      </w:r>
      <w:r>
        <w:rPr>
          <w:rFonts w:hint="eastAsia" w:ascii="仿宋_GB2312" w:hAnsi="仿宋_GB2312" w:eastAsia="仿宋_GB2312" w:cs="仿宋_GB2312"/>
          <w:b w:val="0"/>
          <w:bCs w:val="0"/>
          <w:color w:val="auto"/>
          <w:sz w:val="32"/>
          <w:szCs w:val="32"/>
          <w:highlight w:val="none"/>
          <w:lang w:val="en-US" w:eastAsia="zh-CN"/>
        </w:rPr>
        <w:t>50.58</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。年末结转和结余</w:t>
      </w:r>
      <w:r>
        <w:rPr>
          <w:rFonts w:hint="eastAsia" w:ascii="仿宋_GB2312" w:hAnsi="仿宋_GB2312" w:eastAsia="仿宋_GB2312" w:cs="仿宋_GB2312"/>
          <w:b w:val="0"/>
          <w:bCs w:val="0"/>
          <w:color w:val="auto"/>
          <w:sz w:val="32"/>
          <w:szCs w:val="32"/>
          <w:highlight w:val="none"/>
          <w:lang w:val="en-US" w:eastAsia="zh-CN"/>
        </w:rPr>
        <w:t>90.11万元</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年财政拨款收支决算情况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收入情况</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上年结转</w:t>
      </w:r>
      <w:r>
        <w:rPr>
          <w:rFonts w:hint="eastAsia" w:ascii="仿宋_GB2312" w:hAnsi="仿宋_GB2312" w:eastAsia="仿宋_GB2312" w:cs="仿宋_GB2312"/>
          <w:b w:val="0"/>
          <w:bCs w:val="0"/>
          <w:color w:val="auto"/>
          <w:sz w:val="32"/>
          <w:szCs w:val="32"/>
          <w:highlight w:val="none"/>
          <w:lang w:val="en-US" w:eastAsia="zh-CN"/>
        </w:rPr>
        <w:t>136.73</w:t>
      </w:r>
      <w:r>
        <w:rPr>
          <w:rFonts w:hint="eastAsia" w:ascii="仿宋_GB2312" w:hAnsi="仿宋_GB2312" w:eastAsia="仿宋_GB2312" w:cs="仿宋_GB2312"/>
          <w:b w:val="0"/>
          <w:bCs w:val="0"/>
          <w:color w:val="auto"/>
          <w:sz w:val="32"/>
          <w:szCs w:val="32"/>
          <w:highlight w:val="none"/>
        </w:rPr>
        <w:t>万元，201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年财政拨款收入</w:t>
      </w:r>
      <w:r>
        <w:rPr>
          <w:rFonts w:hint="eastAsia" w:ascii="仿宋_GB2312" w:hAnsi="仿宋_GB2312" w:eastAsia="仿宋_GB2312" w:cs="仿宋_GB2312"/>
          <w:b w:val="0"/>
          <w:bCs w:val="0"/>
          <w:color w:val="auto"/>
          <w:sz w:val="32"/>
          <w:szCs w:val="32"/>
          <w:highlight w:val="none"/>
          <w:lang w:val="en-US" w:eastAsia="zh-CN"/>
        </w:rPr>
        <w:t>266.59</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其中一般公共</w:t>
      </w:r>
      <w:r>
        <w:rPr>
          <w:rFonts w:hint="eastAsia" w:ascii="仿宋_GB2312" w:hAnsi="仿宋_GB2312" w:eastAsia="仿宋_GB2312" w:cs="仿宋_GB2312"/>
          <w:b w:val="0"/>
          <w:bCs w:val="0"/>
          <w:color w:val="auto"/>
          <w:sz w:val="32"/>
          <w:szCs w:val="32"/>
          <w:highlight w:val="none"/>
          <w:lang w:eastAsia="zh-CN"/>
        </w:rPr>
        <w:t>预算财政拨款</w:t>
      </w:r>
      <w:r>
        <w:rPr>
          <w:rFonts w:hint="eastAsia" w:ascii="仿宋_GB2312" w:hAnsi="仿宋_GB2312" w:eastAsia="仿宋_GB2312" w:cs="仿宋_GB2312"/>
          <w:b w:val="0"/>
          <w:bCs w:val="0"/>
          <w:color w:val="auto"/>
          <w:sz w:val="32"/>
          <w:szCs w:val="32"/>
          <w:highlight w:val="none"/>
          <w:lang w:val="en-US" w:eastAsia="zh-CN"/>
        </w:rPr>
        <w:t>250.6</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政府性基金预算财政拨款</w:t>
      </w:r>
      <w:r>
        <w:rPr>
          <w:rFonts w:hint="eastAsia" w:ascii="仿宋_GB2312" w:hAnsi="仿宋_GB2312" w:eastAsia="仿宋_GB2312" w:cs="仿宋_GB2312"/>
          <w:b w:val="0"/>
          <w:bCs w:val="0"/>
          <w:color w:val="auto"/>
          <w:sz w:val="32"/>
          <w:szCs w:val="32"/>
          <w:highlight w:val="none"/>
          <w:lang w:val="en-US" w:eastAsia="zh-CN"/>
        </w:rPr>
        <w:t>15.98万元</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支出情况</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年财政拨款支出</w:t>
      </w:r>
      <w:r>
        <w:rPr>
          <w:rFonts w:hint="eastAsia" w:ascii="仿宋_GB2312" w:hAnsi="仿宋_GB2312" w:eastAsia="仿宋_GB2312" w:cs="仿宋_GB2312"/>
          <w:b w:val="0"/>
          <w:bCs w:val="0"/>
          <w:color w:val="auto"/>
          <w:sz w:val="32"/>
          <w:szCs w:val="32"/>
          <w:highlight w:val="none"/>
          <w:lang w:val="en-US" w:eastAsia="zh-CN"/>
        </w:rPr>
        <w:t>356.48</w:t>
      </w:r>
      <w:r>
        <w:rPr>
          <w:rFonts w:hint="eastAsia" w:ascii="仿宋_GB2312" w:hAnsi="仿宋_GB2312" w:eastAsia="仿宋_GB2312" w:cs="仿宋_GB2312"/>
          <w:b w:val="0"/>
          <w:bCs w:val="0"/>
          <w:color w:val="auto"/>
          <w:sz w:val="32"/>
          <w:szCs w:val="32"/>
          <w:highlight w:val="none"/>
        </w:rPr>
        <w:t>万元，其中</w:t>
      </w:r>
      <w:r>
        <w:rPr>
          <w:rFonts w:hint="eastAsia" w:ascii="仿宋_GB2312" w:hAnsi="仿宋_GB2312" w:eastAsia="仿宋_GB2312" w:cs="仿宋_GB2312"/>
          <w:b w:val="0"/>
          <w:bCs w:val="0"/>
          <w:color w:val="auto"/>
          <w:sz w:val="32"/>
          <w:szCs w:val="32"/>
          <w:highlight w:val="none"/>
          <w:lang w:eastAsia="zh-CN"/>
        </w:rPr>
        <w:t>：一般公共预算财政拨款</w:t>
      </w:r>
      <w:r>
        <w:rPr>
          <w:rFonts w:hint="eastAsia" w:ascii="仿宋_GB2312" w:hAnsi="仿宋_GB2312" w:eastAsia="仿宋_GB2312" w:cs="仿宋_GB2312"/>
          <w:b w:val="0"/>
          <w:bCs w:val="0"/>
          <w:color w:val="auto"/>
          <w:sz w:val="32"/>
          <w:szCs w:val="32"/>
          <w:highlight w:val="none"/>
          <w:lang w:val="en-US" w:eastAsia="zh-CN"/>
        </w:rPr>
        <w:t>340.49</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元，政府性基金预算财政拨款</w:t>
      </w:r>
      <w:r>
        <w:rPr>
          <w:rFonts w:hint="eastAsia" w:ascii="仿宋_GB2312" w:hAnsi="仿宋_GB2312" w:eastAsia="仿宋_GB2312" w:cs="仿宋_GB2312"/>
          <w:b w:val="0"/>
          <w:bCs w:val="0"/>
          <w:color w:val="auto"/>
          <w:sz w:val="32"/>
          <w:szCs w:val="32"/>
          <w:highlight w:val="none"/>
          <w:lang w:val="en-US" w:eastAsia="zh-CN"/>
        </w:rPr>
        <w:t>15.98</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年末财政拨款结转和结余</w:t>
      </w:r>
      <w:r>
        <w:rPr>
          <w:rFonts w:hint="eastAsia" w:ascii="仿宋_GB2312" w:hAnsi="仿宋_GB2312" w:eastAsia="仿宋_GB2312" w:cs="仿宋_GB2312"/>
          <w:b w:val="0"/>
          <w:bCs w:val="0"/>
          <w:color w:val="auto"/>
          <w:sz w:val="32"/>
          <w:szCs w:val="32"/>
          <w:highlight w:val="none"/>
          <w:lang w:val="en-US" w:eastAsia="zh-CN"/>
        </w:rPr>
        <w:t>46.84万元。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年部门决算机关运行经费、国有资产占用情况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年部门决算机关运行经费</w:t>
      </w:r>
      <w:r>
        <w:rPr>
          <w:rFonts w:hint="eastAsia" w:ascii="仿宋_GB2312" w:hAnsi="仿宋_GB2312"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b w:val="0"/>
          <w:bCs w:val="0"/>
          <w:color w:val="auto"/>
          <w:sz w:val="32"/>
          <w:szCs w:val="32"/>
          <w:highlight w:val="none"/>
          <w:lang w:eastAsia="zh-CN"/>
        </w:rPr>
        <w:t>元，</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年部门决算国有资产占用情况：省部级领导干部用车0台，一般公务用车</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台,一般执法用车0台。</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4、“三公”经费管理和使用情况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年三公”经费各费用均控制在预算范围内，201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年“三公经费”预算数</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实际支出</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万元，其中</w:t>
      </w:r>
      <w:r>
        <w:rPr>
          <w:rFonts w:hint="eastAsia" w:ascii="仿宋_GB2312" w:hAnsi="仿宋_GB2312" w:eastAsia="仿宋_GB2312" w:cs="仿宋_GB2312"/>
          <w:color w:val="auto"/>
          <w:sz w:val="32"/>
          <w:szCs w:val="32"/>
          <w:highlight w:val="none"/>
          <w:lang w:eastAsia="zh-CN"/>
        </w:rPr>
        <w:t>因公出（国）境费</w:t>
      </w:r>
      <w:r>
        <w:rPr>
          <w:rFonts w:hint="eastAsia" w:ascii="仿宋_GB2312" w:hAnsi="仿宋_GB2312" w:eastAsia="仿宋_GB2312" w:cs="仿宋_GB2312"/>
          <w:color w:val="auto"/>
          <w:sz w:val="32"/>
          <w:szCs w:val="32"/>
          <w:highlight w:val="none"/>
          <w:lang w:val="en-US" w:eastAsia="zh-CN"/>
        </w:rPr>
        <w:t>0元，</w:t>
      </w:r>
      <w:r>
        <w:rPr>
          <w:rFonts w:hint="eastAsia" w:ascii="仿宋_GB2312" w:hAnsi="仿宋_GB2312" w:eastAsia="仿宋_GB2312" w:cs="仿宋_GB2312"/>
          <w:color w:val="auto"/>
          <w:sz w:val="32"/>
          <w:szCs w:val="32"/>
          <w:highlight w:val="none"/>
        </w:rPr>
        <w:t>公务用车购置</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运行维护费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三、绩效评价概述</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为进一步规范财政资金管理,强化部门责任意识,切实提高财政资金使用效益,根据绩效评价相关规定,对本单位进行绩效评</w:t>
      </w:r>
      <w:r>
        <w:rPr>
          <w:rFonts w:hint="eastAsia" w:ascii="仿宋_GB2312" w:hAnsi="仿宋_GB2312" w:eastAsia="仿宋_GB2312" w:cs="仿宋_GB2312"/>
          <w:color w:val="auto"/>
          <w:sz w:val="32"/>
          <w:szCs w:val="32"/>
          <w:highlight w:val="none"/>
          <w:lang w:eastAsia="zh-CN"/>
        </w:rPr>
        <w:t>价。</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1、绩效评价的目的:201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年部门整体支出情况的绩效评价,促进部门从整体上提升预算绩效管理工作水平,强化部门整体支出责任,规范资金管理行为,提高财政资金使用效益,保障能更好地履行职责</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2、绩效评价实施过程</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核实数据.对201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年度部门整体支出数据的准确性、真实性进行核实,与201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年度数据进行对比;</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3、查阅资料.查阅201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年预算安排、资金管理、经费支出、资金管理等相关文件资料和财务凭证;</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4、归纳总结.对收集的材料进行综合分析、归纳汇总;</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5、根据评价材料结合各项评价指标进行分析评分;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6、形成绩效评价报告</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585"/>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四、整体支出绩效评价</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bCs/>
          <w:color w:val="auto"/>
          <w:sz w:val="32"/>
          <w:szCs w:val="32"/>
          <w:highlight w:val="none"/>
          <w:lang w:eastAsia="zh-CN"/>
        </w:rPr>
        <w:t>投入</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目标设定(6分)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绩效目标合理性(3</w:t>
      </w:r>
      <w:r>
        <w:rPr>
          <w:rFonts w:hint="eastAsia" w:ascii="仿宋_GB2312" w:hAnsi="仿宋_GB2312" w:eastAsia="仿宋_GB2312" w:cs="仿宋_GB2312"/>
          <w:color w:val="auto"/>
          <w:sz w:val="32"/>
          <w:szCs w:val="32"/>
          <w:highlight w:val="none"/>
          <w:lang w:eastAsia="zh-CN"/>
        </w:rPr>
        <w:t>分</w:t>
      </w:r>
      <w:r>
        <w:rPr>
          <w:rFonts w:hint="eastAsia" w:ascii="仿宋_GB2312" w:hAnsi="仿宋_GB2312" w:eastAsia="仿宋_GB2312" w:cs="仿宋_GB2312"/>
          <w:color w:val="auto"/>
          <w:sz w:val="32"/>
          <w:szCs w:val="32"/>
          <w:highlight w:val="none"/>
        </w:rPr>
        <w:t>):根据县委、县政府的中心工作,把201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年全年工作做好,严格执行国家财务制度和财经纪律,合理开支、厉行节约,严格控制三公经</w:t>
      </w:r>
      <w:r>
        <w:rPr>
          <w:rFonts w:hint="eastAsia" w:ascii="仿宋_GB2312" w:hAnsi="仿宋_GB2312" w:eastAsia="仿宋_GB2312" w:cs="仿宋_GB2312"/>
          <w:color w:val="auto"/>
          <w:sz w:val="32"/>
          <w:szCs w:val="32"/>
          <w:highlight w:val="none"/>
          <w:lang w:eastAsia="zh-CN"/>
        </w:rPr>
        <w:t>费</w:t>
      </w:r>
      <w:r>
        <w:rPr>
          <w:rFonts w:hint="eastAsia" w:ascii="仿宋_GB2312" w:hAnsi="仿宋_GB2312" w:eastAsia="仿宋_GB2312" w:cs="仿宋_GB2312"/>
          <w:color w:val="auto"/>
          <w:sz w:val="32"/>
          <w:szCs w:val="32"/>
          <w:highlight w:val="none"/>
        </w:rPr>
        <w:t>,目标符合国家的法律法规、国民经济和社会发展总体规划,根据评价标准该项得3</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绩效指标明确性(3分):整体绩效目标已细化到具体工作任务,数量指标和质量指标分析细化.根据评价标准该得3分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预算配置(20分)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1</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在职人员控制率(3分)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年在职人员编制数8人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年末实有人数</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人,在职人员控制率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×100%=100%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auto"/>
          <w:sz w:val="32"/>
          <w:szCs w:val="32"/>
          <w:highlight w:val="none"/>
        </w:rPr>
        <w:t>该项得3</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三公经费”变动率(4分)</w:t>
      </w:r>
    </w:p>
    <w:p>
      <w:pPr>
        <w:keepNext w:val="0"/>
        <w:keepLines w:val="0"/>
        <w:pageBreakBefore w:val="0"/>
        <w:kinsoku/>
        <w:wordWrap/>
        <w:overflowPunct/>
        <w:topLinePunct w:val="0"/>
        <w:autoSpaceDE/>
        <w:autoSpaceDN/>
        <w:bidi w:val="0"/>
        <w:adjustRightInd/>
        <w:spacing w:line="560" w:lineRule="exact"/>
        <w:ind w:left="0" w:leftChars="0" w:firstLine="592" w:firstLineChars="18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本年度“三公经费”预算数</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上年度“三公经费”</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万元,“三公经费”变动率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auto"/>
          <w:sz w:val="32"/>
          <w:szCs w:val="32"/>
          <w:highlight w:val="none"/>
        </w:rPr>
        <w:t>该项得</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（二）过程</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预算执行(20分)</w:t>
      </w:r>
    </w:p>
    <w:p>
      <w:pPr>
        <w:keepNext w:val="0"/>
        <w:keepLines w:val="0"/>
        <w:pageBreakBefore w:val="0"/>
        <w:kinsoku/>
        <w:wordWrap/>
        <w:overflowPunct/>
        <w:topLinePunct w:val="0"/>
        <w:autoSpaceDE/>
        <w:autoSpaceDN/>
        <w:bidi w:val="0"/>
        <w:adjustRightInd/>
        <w:spacing w:line="560" w:lineRule="exact"/>
        <w:ind w:firstLine="585"/>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1</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预算完成率(5分)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年上年结转</w:t>
      </w:r>
      <w:r>
        <w:rPr>
          <w:rFonts w:hint="eastAsia" w:ascii="仿宋_GB2312" w:hAnsi="仿宋_GB2312" w:eastAsia="仿宋_GB2312" w:cs="仿宋_GB2312"/>
          <w:color w:val="auto"/>
          <w:sz w:val="32"/>
          <w:szCs w:val="32"/>
          <w:highlight w:val="none"/>
          <w:lang w:val="en-US" w:eastAsia="zh-CN"/>
        </w:rPr>
        <w:t>136.73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本年预算</w:t>
      </w:r>
      <w:r>
        <w:rPr>
          <w:rFonts w:hint="eastAsia" w:ascii="仿宋_GB2312" w:hAnsi="仿宋_GB2312" w:eastAsia="仿宋_GB2312" w:cs="仿宋_GB2312"/>
          <w:sz w:val="32"/>
          <w:szCs w:val="32"/>
          <w:highlight w:val="none"/>
          <w:lang w:val="en-US" w:eastAsia="zh-CN"/>
        </w:rPr>
        <w:t>253.21万元，本年</w:t>
      </w:r>
      <w:r>
        <w:rPr>
          <w:rFonts w:hint="eastAsia" w:ascii="仿宋_GB2312" w:hAnsi="仿宋_GB2312" w:eastAsia="仿宋_GB2312" w:cs="仿宋_GB2312"/>
          <w:sz w:val="32"/>
          <w:szCs w:val="32"/>
          <w:highlight w:val="none"/>
        </w:rPr>
        <w:t>追加</w:t>
      </w:r>
      <w:r>
        <w:rPr>
          <w:rFonts w:hint="eastAsia" w:ascii="仿宋_GB2312" w:hAnsi="仿宋_GB2312" w:eastAsia="仿宋_GB2312" w:cs="仿宋_GB2312"/>
          <w:sz w:val="32"/>
          <w:szCs w:val="32"/>
          <w:highlight w:val="none"/>
          <w:lang w:val="en-US" w:eastAsia="zh-CN"/>
        </w:rPr>
        <w:t>13.38</w:t>
      </w:r>
      <w:r>
        <w:rPr>
          <w:rFonts w:hint="eastAsia" w:ascii="仿宋_GB2312" w:hAnsi="仿宋_GB2312" w:eastAsia="仿宋_GB2312" w:cs="仿宋_GB2312"/>
          <w:sz w:val="32"/>
          <w:szCs w:val="32"/>
          <w:highlight w:val="none"/>
        </w:rPr>
        <w:t>万元，年末结转</w:t>
      </w:r>
      <w:r>
        <w:rPr>
          <w:rFonts w:hint="eastAsia" w:ascii="仿宋_GB2312" w:hAnsi="仿宋_GB2312" w:eastAsia="仿宋_GB2312" w:cs="仿宋_GB2312"/>
          <w:sz w:val="32"/>
          <w:szCs w:val="32"/>
          <w:highlight w:val="none"/>
          <w:lang w:val="en-US" w:eastAsia="zh-CN"/>
        </w:rPr>
        <w:t>46.84</w:t>
      </w:r>
      <w:r>
        <w:rPr>
          <w:rFonts w:hint="eastAsia" w:ascii="仿宋_GB2312" w:hAnsi="仿宋_GB2312" w:eastAsia="仿宋_GB2312" w:cs="仿宋_GB2312"/>
          <w:sz w:val="32"/>
          <w:szCs w:val="32"/>
          <w:highlight w:val="none"/>
        </w:rPr>
        <w:t>万元，预算完成率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136.73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253.21+13.38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46.84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136.73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253.21+13.38</w:t>
      </w:r>
      <w:r>
        <w:rPr>
          <w:rFonts w:hint="eastAsia" w:ascii="仿宋_GB2312" w:hAnsi="仿宋_GB2312" w:eastAsia="仿宋_GB2312" w:cs="仿宋_GB2312"/>
          <w:sz w:val="32"/>
          <w:szCs w:val="32"/>
          <w:highlight w:val="none"/>
        </w:rPr>
        <w:t>）×100%=</w:t>
      </w:r>
      <w:r>
        <w:rPr>
          <w:rFonts w:hint="eastAsia" w:ascii="仿宋_GB2312" w:hAnsi="仿宋_GB2312" w:eastAsia="仿宋_GB2312" w:cs="仿宋_GB2312"/>
          <w:sz w:val="32"/>
          <w:szCs w:val="32"/>
          <w:highlight w:val="none"/>
          <w:lang w:val="en-US" w:eastAsia="zh-CN"/>
        </w:rPr>
        <w:t>88.39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结转资金为政务建设资金，所以不能计算在内，</w:t>
      </w:r>
      <w:r>
        <w:rPr>
          <w:rFonts w:hint="eastAsia" w:ascii="仿宋_GB2312" w:hAnsi="仿宋_GB2312" w:eastAsia="仿宋_GB2312" w:cs="仿宋_GB2312"/>
          <w:color w:val="auto"/>
          <w:sz w:val="32"/>
          <w:szCs w:val="32"/>
          <w:highlight w:val="none"/>
        </w:rPr>
        <w:t>该项得分</w:t>
      </w:r>
      <w:r>
        <w:rPr>
          <w:rFonts w:hint="eastAsia" w:ascii="仿宋_GB2312" w:hAnsi="仿宋_GB2312" w:eastAsia="仿宋_GB2312" w:cs="仿宋_GB2312"/>
          <w:color w:val="auto"/>
          <w:sz w:val="32"/>
          <w:szCs w:val="32"/>
          <w:highlight w:val="none"/>
          <w:lang w:eastAsia="zh-CN"/>
        </w:rPr>
        <w:t>应为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预算控制率(5分)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年度预算收入</w:t>
      </w:r>
      <w:r>
        <w:rPr>
          <w:rFonts w:hint="eastAsia" w:ascii="仿宋_GB2312" w:hAnsi="仿宋_GB2312" w:eastAsia="仿宋_GB2312" w:cs="仿宋_GB2312"/>
          <w:color w:val="auto"/>
          <w:sz w:val="32"/>
          <w:szCs w:val="32"/>
          <w:highlight w:val="none"/>
          <w:lang w:val="en-US" w:eastAsia="zh-CN"/>
        </w:rPr>
        <w:t>266.59</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eastAsia="zh-CN"/>
        </w:rPr>
        <w:t>元，其中</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lang w:val="en-US" w:eastAsia="zh-CN"/>
        </w:rPr>
        <w:t>253.21</w:t>
      </w:r>
      <w:r>
        <w:rPr>
          <w:rFonts w:hint="eastAsia" w:ascii="仿宋_GB2312" w:hAnsi="仿宋_GB2312" w:eastAsia="仿宋_GB2312" w:cs="仿宋_GB2312"/>
          <w:color w:val="auto"/>
          <w:sz w:val="32"/>
          <w:szCs w:val="32"/>
          <w:highlight w:val="none"/>
        </w:rPr>
        <w:t>万元，追加预算</w:t>
      </w:r>
      <w:r>
        <w:rPr>
          <w:rFonts w:hint="eastAsia" w:ascii="仿宋_GB2312" w:hAnsi="仿宋_GB2312" w:eastAsia="仿宋_GB2312" w:cs="仿宋_GB2312"/>
          <w:color w:val="auto"/>
          <w:sz w:val="32"/>
          <w:szCs w:val="32"/>
          <w:highlight w:val="none"/>
          <w:lang w:val="en-US" w:eastAsia="zh-CN"/>
        </w:rPr>
        <w:t>13.38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根据公式计算,预算控制率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13.38/253.21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5.28%，</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auto"/>
          <w:sz w:val="32"/>
          <w:szCs w:val="32"/>
          <w:highlight w:val="none"/>
        </w:rPr>
        <w:t>该项得分</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3</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新建楼堂馆所面积控制率(5分)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年度没有新建楼堂馆所,根据公式计算控制率为100%,该项得分5分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4</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新建楼堂馆所投资概算控制率(5分)</w:t>
      </w:r>
    </w:p>
    <w:p>
      <w:pPr>
        <w:keepNext w:val="0"/>
        <w:keepLines w:val="0"/>
        <w:pageBreakBefore w:val="0"/>
        <w:kinsoku/>
        <w:wordWrap/>
        <w:overflowPunct/>
        <w:topLinePunct w:val="0"/>
        <w:autoSpaceDE/>
        <w:autoSpaceDN/>
        <w:bidi w:val="0"/>
        <w:adjustRightInd/>
        <w:spacing w:line="560" w:lineRule="exact"/>
        <w:ind w:firstLine="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年没有新建楼堂馆所,根据公式计算投资概算控制率为100%,该项得分5分</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spacing w:line="560" w:lineRule="exact"/>
        <w:ind w:left="710" w:left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预算管理(41分)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1</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公用经费控制率(8分)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年公用经费实际支出</w:t>
      </w:r>
      <w:r>
        <w:rPr>
          <w:rFonts w:hint="eastAsia" w:ascii="仿宋_GB2312" w:hAnsi="仿宋_GB2312" w:eastAsia="仿宋_GB2312" w:cs="仿宋_GB2312"/>
          <w:color w:val="auto"/>
          <w:sz w:val="32"/>
          <w:szCs w:val="32"/>
          <w:highlight w:val="none"/>
          <w:lang w:val="en-US" w:eastAsia="zh-CN"/>
        </w:rPr>
        <w:t>6.4</w:t>
      </w:r>
      <w:r>
        <w:rPr>
          <w:rFonts w:hint="eastAsia" w:ascii="仿宋_GB2312" w:hAnsi="仿宋_GB2312" w:eastAsia="仿宋_GB2312" w:cs="仿宋_GB2312"/>
          <w:color w:val="auto"/>
          <w:sz w:val="32"/>
          <w:szCs w:val="32"/>
          <w:highlight w:val="none"/>
        </w:rPr>
        <w:t>万元,预算数为</w:t>
      </w:r>
      <w:r>
        <w:rPr>
          <w:rFonts w:hint="eastAsia" w:ascii="仿宋_GB2312" w:hAnsi="仿宋_GB2312" w:eastAsia="仿宋_GB2312" w:cs="仿宋_GB2312"/>
          <w:color w:val="auto"/>
          <w:sz w:val="32"/>
          <w:szCs w:val="32"/>
          <w:highlight w:val="none"/>
          <w:lang w:val="en-US" w:eastAsia="zh-CN"/>
        </w:rPr>
        <w:t>6.4</w:t>
      </w:r>
      <w:r>
        <w:rPr>
          <w:rFonts w:hint="eastAsia" w:ascii="仿宋_GB2312" w:hAnsi="仿宋_GB2312" w:eastAsia="仿宋_GB2312" w:cs="仿宋_GB2312"/>
          <w:color w:val="auto"/>
          <w:sz w:val="32"/>
          <w:szCs w:val="32"/>
          <w:highlight w:val="none"/>
        </w:rPr>
        <w:t>万元,公用经费控制率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6.4-6.4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6.4</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sz w:val="32"/>
          <w:szCs w:val="32"/>
          <w:highlight w:val="none"/>
        </w:rPr>
        <w:t>评分标准</w:t>
      </w:r>
      <w:r>
        <w:rPr>
          <w:rFonts w:hint="eastAsia" w:ascii="仿宋_GB2312" w:hAnsi="仿宋_GB2312" w:eastAsia="仿宋_GB2312" w:cs="仿宋_GB2312"/>
          <w:sz w:val="32"/>
          <w:szCs w:val="32"/>
          <w:highlight w:val="none"/>
          <w:lang w:eastAsia="zh-CN"/>
        </w:rPr>
        <w:t>该</w:t>
      </w:r>
      <w:r>
        <w:rPr>
          <w:rFonts w:hint="eastAsia" w:ascii="仿宋_GB2312" w:hAnsi="仿宋_GB2312" w:eastAsia="仿宋_GB2312" w:cs="仿宋_GB2312"/>
          <w:color w:val="auto"/>
          <w:sz w:val="32"/>
          <w:szCs w:val="32"/>
          <w:highlight w:val="none"/>
        </w:rPr>
        <w:t>项得分为</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2</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“三公经费”控制率(8分)</w:t>
      </w:r>
    </w:p>
    <w:p>
      <w:pPr>
        <w:keepNext w:val="0"/>
        <w:keepLines w:val="0"/>
        <w:pageBreakBefore w:val="0"/>
        <w:kinsoku/>
        <w:wordWrap/>
        <w:overflowPunct/>
        <w:topLinePunct w:val="0"/>
        <w:autoSpaceDE/>
        <w:autoSpaceDN/>
        <w:bidi w:val="0"/>
        <w:adjustRightInd/>
        <w:spacing w:line="56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年“三公经费”预算数</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万元,实际支出</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元，三公经费</w:t>
      </w:r>
      <w:r>
        <w:rPr>
          <w:rFonts w:hint="eastAsia" w:ascii="仿宋_GB2312" w:hAnsi="仿宋_GB2312" w:eastAsia="仿宋_GB2312" w:cs="仿宋_GB2312"/>
          <w:color w:val="auto"/>
          <w:sz w:val="32"/>
          <w:szCs w:val="32"/>
          <w:highlight w:val="none"/>
        </w:rPr>
        <w:t>控制率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170%</w:t>
      </w:r>
      <w:r>
        <w:rPr>
          <w:rFonts w:hint="eastAsia" w:ascii="仿宋_GB2312" w:hAnsi="仿宋_GB2312" w:eastAsia="仿宋_GB2312" w:cs="仿宋_GB2312"/>
          <w:color w:val="auto"/>
          <w:sz w:val="32"/>
          <w:szCs w:val="32"/>
          <w:highlight w:val="none"/>
        </w:rPr>
        <w:t>,根据公式计算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该项得分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3</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政府采购执行率(6分)</w:t>
      </w:r>
    </w:p>
    <w:p>
      <w:pPr>
        <w:keepNext w:val="0"/>
        <w:keepLines w:val="0"/>
        <w:pageBreakBefore w:val="0"/>
        <w:kinsoku/>
        <w:wordWrap/>
        <w:overflowPunct/>
        <w:topLinePunct w:val="0"/>
        <w:autoSpaceDE/>
        <w:autoSpaceDN/>
        <w:bidi w:val="0"/>
        <w:adjustRightInd/>
        <w:spacing w:line="560" w:lineRule="exact"/>
        <w:ind w:left="17" w:leftChars="8" w:firstLine="617" w:firstLineChars="193"/>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政府采购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执行率</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没有超过及降低5%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该项得分6分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left="17" w:leftChars="8" w:firstLine="617" w:firstLineChars="193"/>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4</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管理制度健全(8分)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年管理制定的管理制度健全,具有较强的合法合规性和完整性,相关的管理制度已得到有效的执行,该项得分8分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eastAsia="仿宋_GB2312" w:cs="Calibri"/>
          <w:color w:val="auto"/>
          <w:sz w:val="32"/>
          <w:szCs w:val="32"/>
          <w:highlight w:val="none"/>
          <w:lang w:eastAsia="zh-CN"/>
        </w:rPr>
        <w:t>（</w:t>
      </w:r>
      <w:r>
        <w:rPr>
          <w:rFonts w:hint="eastAsia" w:eastAsia="仿宋_GB2312" w:cs="Calibri"/>
          <w:color w:val="auto"/>
          <w:sz w:val="32"/>
          <w:szCs w:val="32"/>
          <w:highlight w:val="none"/>
          <w:lang w:val="en-US" w:eastAsia="zh-CN"/>
        </w:rPr>
        <w:t>5</w:t>
      </w:r>
      <w:r>
        <w:rPr>
          <w:rFonts w:hint="eastAsia" w:eastAsia="仿宋_GB2312" w:cs="Calibri"/>
          <w:color w:val="auto"/>
          <w:sz w:val="32"/>
          <w:szCs w:val="32"/>
          <w:highlight w:val="none"/>
          <w:lang w:eastAsia="zh-CN"/>
        </w:rPr>
        <w:t>）</w:t>
      </w:r>
      <w:r>
        <w:rPr>
          <w:rFonts w:hint="eastAsia" w:ascii="仿宋_GB2312" w:hAnsi="仿宋_GB2312" w:eastAsia="仿宋_GB2312" w:cs="仿宋_GB2312"/>
          <w:color w:val="auto"/>
          <w:sz w:val="32"/>
          <w:szCs w:val="32"/>
          <w:highlight w:val="none"/>
        </w:rPr>
        <w:t>资金使用合规性(6分)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年支出符合国家财经纪律法规和财务管理制度以及有关专项资金管理办法的规定,资金拨付有完整的审批程序和手续,项目支出按规定,支出符合部门预算批复的用途,无挤占等现象,该项得分6</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宋体" w:hAnsi="宋体" w:cs="宋体"/>
          <w:color w:val="auto"/>
          <w:sz w:val="32"/>
          <w:szCs w:val="32"/>
          <w:highlight w:val="none"/>
          <w:lang w:eastAsia="zh-CN"/>
        </w:rPr>
        <w:t>（</w:t>
      </w:r>
      <w:r>
        <w:rPr>
          <w:rFonts w:hint="eastAsia" w:ascii="宋体" w:hAnsi="宋体" w:cs="宋体"/>
          <w:color w:val="auto"/>
          <w:sz w:val="32"/>
          <w:szCs w:val="32"/>
          <w:highlight w:val="none"/>
          <w:lang w:val="en-US" w:eastAsia="zh-CN"/>
        </w:rPr>
        <w:t>6</w:t>
      </w:r>
      <w:r>
        <w:rPr>
          <w:rFonts w:hint="eastAsia" w:ascii="宋体" w:hAnsi="宋体" w:cs="宋体"/>
          <w:color w:val="auto"/>
          <w:sz w:val="32"/>
          <w:szCs w:val="32"/>
          <w:highlight w:val="none"/>
          <w:lang w:eastAsia="zh-CN"/>
        </w:rPr>
        <w:t>）</w:t>
      </w:r>
      <w:r>
        <w:rPr>
          <w:rFonts w:hint="eastAsia" w:ascii="仿宋_GB2312" w:hAnsi="仿宋_GB2312" w:eastAsia="仿宋_GB2312" w:cs="仿宋_GB2312"/>
          <w:color w:val="auto"/>
          <w:sz w:val="32"/>
          <w:szCs w:val="32"/>
          <w:highlight w:val="none"/>
        </w:rPr>
        <w:t>预决算信息公开性(5分)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按照政府对预决算规定的信息内容,时限实行公开,基础数据信息和会计信息资料真实、完整、准</w:t>
      </w:r>
      <w:r>
        <w:rPr>
          <w:rFonts w:hint="eastAsia" w:ascii="仿宋_GB2312" w:hAnsi="仿宋_GB2312" w:eastAsia="仿宋_GB2312" w:cs="仿宋_GB2312"/>
          <w:color w:val="auto"/>
          <w:sz w:val="32"/>
          <w:szCs w:val="32"/>
          <w:highlight w:val="none"/>
          <w:lang w:eastAsia="zh-CN"/>
        </w:rPr>
        <w:t>确。</w:t>
      </w:r>
      <w:r>
        <w:rPr>
          <w:rFonts w:hint="eastAsia" w:ascii="仿宋_GB2312" w:hAnsi="仿宋_GB2312" w:eastAsia="仿宋_GB2312" w:cs="仿宋_GB2312"/>
          <w:color w:val="auto"/>
          <w:sz w:val="32"/>
          <w:szCs w:val="32"/>
          <w:highlight w:val="none"/>
        </w:rPr>
        <w:t>该项得分5</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产出及效率(26分)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1、重点工作实际完成率(</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根据绩效办201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年对各部门为民办实事和部门重点工程与重点工作考核分数折算，该项得分为8分。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以整合审批资源为重点，以优化审批流程为抓手，以创新服务模式为核心，持续深化“放管服”改革，增强政府公信力和执行力，全面促进人民满意的服务型政府建设。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（1）以整合审批资源为重点，着力实现政务管理“新突破”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全面落实“三进”中心工作。</w:t>
      </w:r>
      <w:r>
        <w:rPr>
          <w:rFonts w:hint="eastAsia" w:ascii="仿宋_GB2312" w:hAnsi="仿宋_GB2312" w:eastAsia="仿宋_GB2312" w:cs="仿宋_GB2312"/>
          <w:sz w:val="32"/>
          <w:szCs w:val="32"/>
          <w:lang w:val="en-US" w:eastAsia="zh-CN"/>
        </w:rPr>
        <w:t>严格按照“只进一扇门”要求，推进政务服务事项全部进驻中心，全面落实“三集中、三到位”政策，各职能部门的审批办理机构整合进驻各级政府政务服务中心，设立办事窗口并充分授权，做到权进、事进、人进，切实推进各类政务服务资源向县政府政务服务中心、乡镇便民服务中心进驻，提高现场办事率。今年以来，我县级中心已有36个进厅单位，设置办事窗口100个，工作人员110余人；并持续推进12个乡镇便民服务中心标准化建设，配合县组织部完成全县农村综合服务平台建设，健全三级联动、代办帮办机制，逐步实现政务服务事项就近办，形成了“只进一扇门，办好万家事”的工作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持续深化“一窗受理、集成服务”改革。</w:t>
      </w:r>
      <w:r>
        <w:rPr>
          <w:rFonts w:hint="eastAsia" w:ascii="仿宋_GB2312" w:hAnsi="仿宋_GB2312" w:eastAsia="仿宋_GB2312" w:cs="仿宋_GB2312"/>
          <w:sz w:val="32"/>
          <w:szCs w:val="32"/>
          <w:lang w:val="en-US" w:eastAsia="zh-CN"/>
        </w:rPr>
        <w:t>为科学整合办事窗口，统筹推进服务窗口集成、政务服务平台集成、审批标准集成，县政务服务大厅按照突出改革、便民利企、服务发展的思路，设立三个功能区域。一楼大厅突出便民利民，主要设置社会事务服务区、中介服务区；二楼大厅突出审批提速，主要设置商事登记服务区、综合配套服务区；三楼大厅突出改革创新，主要设置财税服务区、不动产登记服务区、金融服务区。实行“前台综合受理、后台分类审批、统一窗口出件”的“一站式”服务，建立“帮代办”机构，着力打造集政务服务、信息公开、改革创新等于一体的多功能综合性服务平台，保证群众和企业能够进一家门、办成一揽子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深入开展“三清单”清理工作。</w:t>
      </w:r>
      <w:r>
        <w:rPr>
          <w:rFonts w:hint="eastAsia" w:ascii="仿宋_GB2312" w:hAnsi="仿宋_GB2312" w:eastAsia="仿宋_GB2312" w:cs="仿宋_GB2312"/>
          <w:sz w:val="32"/>
          <w:szCs w:val="32"/>
          <w:lang w:val="en-US" w:eastAsia="zh-CN"/>
        </w:rPr>
        <w:t>坚持“全面清权、简政放权、科学确权、规范用权、高效用权、严格控权”的原则，建立和完善“三清单一目录”制度，实行动态管理，实时进行调整，促进行政权力清单“瘦身”。截至目前，州县同步已经完成承接引用国家、省级事项目录两批共1044项，其中，国家目录518项、省级目录526项。现在正在组织涉及的各相关单位填报实施清单，制作办理流程图，确保在“互联网+政务服务”一体化平台实现“一网通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（2）以优化审批流程为抓手，全面促进行政效能“大提速”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梳理事项材料，开展“减证便民”。</w:t>
      </w:r>
      <w:r>
        <w:rPr>
          <w:rFonts w:hint="eastAsia" w:ascii="仿宋_GB2312" w:hAnsi="仿宋_GB2312" w:eastAsia="仿宋_GB2312" w:cs="仿宋_GB2312"/>
          <w:sz w:val="32"/>
          <w:szCs w:val="32"/>
          <w:lang w:val="en-US" w:eastAsia="zh-CN"/>
        </w:rPr>
        <w:t>认真梳理群众和企业到政府办事事项的申报材料，持续推进“减证便民”专项行动，实行群众企业到政府办事容缺受理机制，全面清理并减少审批事项前置条件，坚决杜绝互为前置条件的行为。我中心按照省、州统一部署和要求，明确职责任务，指定专人负责，认真组织开展清理工作。截至目前，政务服务大厅共核减各项材料共计17份，优化归集业务流程3项，杜绝“奇葩证明”“循环证明”现象发生。先后对3大类共计1000余项工作流程进行了全面再造，让各项业务办理全面进入快车道，真正做到了资料受理快、后台审批快、窗口出件快，服务时效快“四快”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精简审批环节，承诺“办理时限”。</w:t>
      </w:r>
      <w:r>
        <w:rPr>
          <w:rFonts w:hint="eastAsia" w:ascii="仿宋_GB2312" w:hAnsi="仿宋_GB2312" w:eastAsia="仿宋_GB2312" w:cs="仿宋_GB2312"/>
          <w:sz w:val="32"/>
          <w:szCs w:val="32"/>
          <w:lang w:val="en-US" w:eastAsia="zh-CN"/>
        </w:rPr>
        <w:t>大力推行并联办理，“承诺时限”办结，减少办理环节，优化行政审批流程，推进高效审批。2017年10月以来，“商事登记”窗口已实行“多证合一”营业执照制度，并颁发首张“多证合一”执照；去年底，企业登记全程电子化改革进入全面实施阶段，企业只需准备一套材料、一份表格，到一个窗口办理，3个工作日内即可领取证照。“投资项目”窗口全面推进在线审批平台应用，实现了所有项目在线审批，所有项目的审批、核准、备案时限由原来的5个工作日缩减至3个工作日，对服务对象实行了“即来即办”制度，在资料齐全的情况下，已实现“最多跑一次”。基本实现审批环节精简50%，承诺办理时限提速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推进服务改革，设立“中介超市”。</w:t>
      </w:r>
      <w:r>
        <w:rPr>
          <w:rFonts w:hint="eastAsia" w:ascii="仿宋_GB2312" w:hAnsi="仿宋_GB2312" w:eastAsia="仿宋_GB2312" w:cs="仿宋_GB2312"/>
          <w:sz w:val="32"/>
          <w:szCs w:val="32"/>
          <w:lang w:val="en-US" w:eastAsia="zh-CN"/>
        </w:rPr>
        <w:t>按照部署，我中心今年4月份以来，对行政审批中介服务进行了全面清理，形成了中介服务事项的“目录清单”，建立了“中介服务数据库”，制定和完善中介机构监管措施，引导中介服务进驻政务服务中心，在一楼大厅集中设立了“中介服务超市”并对社会进行了公示。截至目前，县政务服务中心共进驻了农村商业银行保靖县支行、邮政快递公司、银盾新型印章有限公司、中国人寿保险公司、天平房地产评估公司等五家中介公司，已经全部制定了办事服务指南、办事服务流程等，全面对社会公开，建立政府引导、行业自律、用户评价的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（3）以创新服务模式为核心，重点构建智慧服务“多通道”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推进“互联网+政务服务”建设，构建“一张网”。</w:t>
      </w:r>
      <w:r>
        <w:rPr>
          <w:rFonts w:hint="eastAsia" w:ascii="仿宋_GB2312" w:hAnsi="仿宋_GB2312" w:eastAsia="仿宋_GB2312" w:cs="仿宋_GB2312"/>
          <w:sz w:val="32"/>
          <w:szCs w:val="32"/>
          <w:lang w:val="en-US" w:eastAsia="zh-CN"/>
        </w:rPr>
        <w:t>坚持网上网下结合，全面推进“互联网+政务服务”一体化平台建设，于2018年11月底前正式上线运行，实现政务服务“一张网”。我中心持续强化以湖南省网上政务服务和电子监察系统为依托的网上办事大厅建设和应用，在县人民政府网站上开设了 “服务引导、信息咨询、事项申请、办理跟踪、监督评价”五位一体的网上办理系统”。今年以来，政务服务大厅受理行政审批2829件，公共服务事项3216件，总计6045件，零罚牌记录，群众满意度达到96%以上，政务服务提质增效显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建立社会求助服务平台，完善“一热线”。</w:t>
      </w:r>
      <w:r>
        <w:rPr>
          <w:rFonts w:hint="eastAsia" w:ascii="仿宋_GB2312" w:hAnsi="仿宋_GB2312" w:eastAsia="仿宋_GB2312" w:cs="仿宋_GB2312"/>
          <w:sz w:val="32"/>
          <w:szCs w:val="32"/>
          <w:lang w:val="en-US" w:eastAsia="zh-CN"/>
        </w:rPr>
        <w:t>我中心认真贯彻落实《湖南省政务服务规定》，整合政务服务热线电话，组建了保靖县政府信息调度指挥中心，将“12345”政府服务热线与县110指挥中心、电子监控中心合并办公，各部门主要负责人分别为热线第一责任人参与到热线工作处理中。制定了《县长热线值班制度》等工作制度，实行了24小时值班制、网上办理机制，指定2名工作人员负责县长热线，随时接通，专人回应。保证在规定的时限内由热线工作人员将处理结果及时进行网上回复，每办理完一件工单，就建立台账，做好资料存档工作。今年以来，共办件258余件，办结率100%，群众满意率95%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完善重点领域信息公开机制，实现“全互动”。</w:t>
      </w:r>
      <w:r>
        <w:rPr>
          <w:rFonts w:hint="eastAsia" w:ascii="仿宋_GB2312" w:hAnsi="仿宋_GB2312" w:eastAsia="仿宋_GB2312" w:cs="仿宋_GB2312"/>
          <w:sz w:val="32"/>
          <w:szCs w:val="32"/>
          <w:lang w:val="en-US" w:eastAsia="zh-CN"/>
        </w:rPr>
        <w:t>坚持把“保靖县人民政府门户网”作为政务信息公开工作的第一平台，将具有政务公开义务的单位全部纳入平台建设中，组织力量进行全面整改和提高。修订完善了《保靖县政府信息主动公开制度》、《保靖县政府信息公开工作考核制度》，《保靖县政务公开工作制度手册》，及时公布了《2019年保靖县政务公开工作要点》。积极利用政府信息网站，网上政务大厅、“县长热线”等网络媒体，搭建与群众沟通互动的网络平台，拓宽收集群众对政务公开、政务服务工作意见建议和问题反映的渠道，进一步深化和推进政务公开。推进网上政务大厅建设，全程应用电子监察系统对政务服务情况进行全程跟踪监督，通过“县长热线”反映自身合理诉求，化解社会矛盾。</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每月一主题、月月有活动、支部齐动员、党员干部全参与，通过党建“主题党日”活动的开展，严肃了党内政治生活，不断增强全体同志在中心工作荣誉感、为群众服务的责任感、在服务中实现价值的自豪感，凝聚了人心民力，形成了“人人参与党建工作、人人服务脱贫攻坚”的积极向上的良好氛围。该项得6</w:t>
      </w:r>
      <w:r>
        <w:rPr>
          <w:rFonts w:hint="eastAsia" w:ascii="仿宋_GB2312" w:hAnsi="仿宋_GB2312" w:eastAsia="仿宋_GB2312" w:cs="仿宋_GB2312"/>
          <w:color w:val="auto"/>
          <w:sz w:val="32"/>
          <w:szCs w:val="32"/>
          <w:highlight w:val="none"/>
          <w:lang w:eastAsia="zh-CN"/>
        </w:rPr>
        <w:t>分。</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rPr>
      </w:pPr>
      <w:r>
        <w:rPr>
          <w:rStyle w:val="8"/>
          <w:rFonts w:hint="eastAsia" w:ascii="仿宋_GB2312" w:hAnsi="仿宋_GB2312" w:eastAsia="仿宋_GB2312" w:cs="仿宋_GB2312"/>
          <w:b w:val="0"/>
          <w:bCs/>
          <w:sz w:val="32"/>
          <w:szCs w:val="32"/>
        </w:rPr>
        <w:t>根据绩效评价体系评分体系测算，保靖县</w:t>
      </w:r>
      <w:r>
        <w:rPr>
          <w:rStyle w:val="8"/>
          <w:rFonts w:hint="eastAsia" w:ascii="仿宋_GB2312" w:hAnsi="仿宋_GB2312" w:eastAsia="仿宋_GB2312" w:cs="仿宋_GB2312"/>
          <w:b w:val="0"/>
          <w:bCs/>
          <w:sz w:val="32"/>
          <w:szCs w:val="32"/>
          <w:lang w:eastAsia="zh-CN"/>
        </w:rPr>
        <w:t>政务服务中心</w:t>
      </w:r>
      <w:r>
        <w:rPr>
          <w:rStyle w:val="8"/>
          <w:rFonts w:hint="eastAsia" w:ascii="仿宋_GB2312" w:hAnsi="仿宋_GB2312" w:eastAsia="仿宋_GB2312" w:cs="仿宋_GB2312"/>
          <w:b w:val="0"/>
          <w:bCs/>
          <w:sz w:val="32"/>
          <w:szCs w:val="32"/>
        </w:rPr>
        <w:t>201</w:t>
      </w:r>
      <w:r>
        <w:rPr>
          <w:rStyle w:val="8"/>
          <w:rFonts w:hint="eastAsia" w:ascii="仿宋_GB2312" w:hAnsi="仿宋_GB2312" w:eastAsia="仿宋_GB2312" w:cs="仿宋_GB2312"/>
          <w:b w:val="0"/>
          <w:bCs/>
          <w:sz w:val="32"/>
          <w:szCs w:val="32"/>
          <w:lang w:val="en-US" w:eastAsia="zh-CN"/>
        </w:rPr>
        <w:t>9</w:t>
      </w:r>
      <w:r>
        <w:rPr>
          <w:rStyle w:val="8"/>
          <w:rFonts w:hint="eastAsia" w:ascii="仿宋_GB2312" w:hAnsi="仿宋_GB2312" w:eastAsia="仿宋_GB2312" w:cs="仿宋_GB2312"/>
          <w:b w:val="0"/>
          <w:bCs/>
          <w:sz w:val="32"/>
          <w:szCs w:val="32"/>
        </w:rPr>
        <w:t>年部门整体支出绩效评价得分是：投入绩效为13分，过程绩效为</w:t>
      </w:r>
      <w:r>
        <w:rPr>
          <w:rStyle w:val="8"/>
          <w:rFonts w:hint="eastAsia" w:ascii="仿宋_GB2312" w:hAnsi="仿宋_GB2312" w:eastAsia="仿宋_GB2312" w:cs="仿宋_GB2312"/>
          <w:b w:val="0"/>
          <w:bCs/>
          <w:sz w:val="32"/>
          <w:szCs w:val="32"/>
          <w:lang w:val="en-US" w:eastAsia="zh-CN"/>
        </w:rPr>
        <w:t>53</w:t>
      </w:r>
      <w:r>
        <w:rPr>
          <w:rStyle w:val="8"/>
          <w:rFonts w:hint="eastAsia" w:ascii="仿宋_GB2312" w:hAnsi="仿宋_GB2312" w:eastAsia="仿宋_GB2312" w:cs="仿宋_GB2312"/>
          <w:b w:val="0"/>
          <w:bCs/>
          <w:sz w:val="32"/>
          <w:szCs w:val="32"/>
        </w:rPr>
        <w:t>分，产出及效率绩效为26分，</w:t>
      </w:r>
      <w:r>
        <w:rPr>
          <w:rFonts w:hint="eastAsia" w:ascii="仿宋_GB2312" w:hAnsi="仿宋_GB2312" w:eastAsia="仿宋_GB2312" w:cs="仿宋_GB2312"/>
          <w:color w:val="auto"/>
          <w:sz w:val="32"/>
          <w:szCs w:val="32"/>
          <w:highlight w:val="none"/>
        </w:rPr>
        <w:t>综合以上绩效评价得分</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分，</w:t>
      </w:r>
      <w:r>
        <w:rPr>
          <w:rStyle w:val="8"/>
          <w:rFonts w:hint="eastAsia" w:ascii="仿宋_GB2312" w:hAnsi="仿宋_GB2312" w:eastAsia="仿宋_GB2312" w:cs="仿宋_GB2312"/>
          <w:b w:val="0"/>
          <w:bCs/>
          <w:color w:val="auto"/>
          <w:sz w:val="32"/>
          <w:szCs w:val="32"/>
          <w:highlight w:val="none"/>
          <w:lang w:eastAsia="zh-CN"/>
        </w:rPr>
        <w:t>优秀</w:t>
      </w:r>
      <w:r>
        <w:rPr>
          <w:rStyle w:val="8"/>
          <w:rFonts w:hint="eastAsia" w:ascii="仿宋_GB2312" w:hAnsi="仿宋_GB2312" w:eastAsia="仿宋_GB2312" w:cs="仿宋_GB2312"/>
          <w:b w:val="0"/>
          <w:bCs/>
          <w:color w:val="auto"/>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5120" w:firstLineChars="1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保靖县政务</w:t>
      </w:r>
      <w:r>
        <w:rPr>
          <w:rFonts w:hint="eastAsia" w:ascii="仿宋_GB2312" w:hAnsi="仿宋_GB2312" w:eastAsia="仿宋_GB2312" w:cs="仿宋_GB2312"/>
          <w:color w:val="auto"/>
          <w:sz w:val="32"/>
          <w:szCs w:val="32"/>
          <w:highlight w:val="none"/>
          <w:lang w:eastAsia="zh-CN"/>
        </w:rPr>
        <w:t>服务</w:t>
      </w:r>
      <w:r>
        <w:rPr>
          <w:rFonts w:hint="eastAsia" w:ascii="仿宋_GB2312" w:hAnsi="仿宋_GB2312" w:eastAsia="仿宋_GB2312" w:cs="仿宋_GB2312"/>
          <w:color w:val="auto"/>
          <w:sz w:val="32"/>
          <w:szCs w:val="32"/>
          <w:highlight w:val="none"/>
        </w:rPr>
        <w:t>中心</w:t>
      </w:r>
    </w:p>
    <w:p>
      <w:pPr>
        <w:keepNext w:val="0"/>
        <w:keepLines w:val="0"/>
        <w:pageBreakBefore w:val="0"/>
        <w:kinsoku/>
        <w:wordWrap/>
        <w:overflowPunct/>
        <w:topLinePunct w:val="0"/>
        <w:autoSpaceDE/>
        <w:autoSpaceDN/>
        <w:bidi w:val="0"/>
        <w:adjustRightInd/>
        <w:spacing w:line="560" w:lineRule="exact"/>
        <w:ind w:firstLine="5280" w:firstLineChars="165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p>
    <w:sectPr>
      <w:headerReference r:id="rId3" w:type="default"/>
      <w:footerReference r:id="rId4" w:type="default"/>
      <w:pgSz w:w="11906" w:h="16838"/>
      <w:pgMar w:top="1440" w:right="1416"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3705"/>
    <w:multiLevelType w:val="multilevel"/>
    <w:tmpl w:val="31943705"/>
    <w:lvl w:ilvl="0" w:tentative="0">
      <w:start w:val="1"/>
      <w:numFmt w:val="japaneseCounting"/>
      <w:lvlText w:val="(%1)"/>
      <w:lvlJc w:val="left"/>
      <w:pPr>
        <w:ind w:left="1430" w:hanging="720"/>
      </w:pPr>
      <w:rPr>
        <w:rFonts w:hint="default" w:cs="Times New Roman"/>
      </w:rPr>
    </w:lvl>
    <w:lvl w:ilvl="1" w:tentative="0">
      <w:start w:val="1"/>
      <w:numFmt w:val="lowerLetter"/>
      <w:lvlText w:val="%2)"/>
      <w:lvlJc w:val="left"/>
      <w:pPr>
        <w:ind w:left="1545" w:hanging="420"/>
      </w:pPr>
      <w:rPr>
        <w:rFonts w:cs="Times New Roman"/>
      </w:rPr>
    </w:lvl>
    <w:lvl w:ilvl="2" w:tentative="0">
      <w:start w:val="1"/>
      <w:numFmt w:val="lowerRoman"/>
      <w:lvlText w:val="%3."/>
      <w:lvlJc w:val="right"/>
      <w:pPr>
        <w:ind w:left="1965" w:hanging="420"/>
      </w:pPr>
      <w:rPr>
        <w:rFonts w:cs="Times New Roman"/>
      </w:rPr>
    </w:lvl>
    <w:lvl w:ilvl="3" w:tentative="0">
      <w:start w:val="1"/>
      <w:numFmt w:val="decimal"/>
      <w:lvlText w:val="%4."/>
      <w:lvlJc w:val="left"/>
      <w:pPr>
        <w:ind w:left="2385" w:hanging="420"/>
      </w:pPr>
      <w:rPr>
        <w:rFonts w:cs="Times New Roman"/>
      </w:rPr>
    </w:lvl>
    <w:lvl w:ilvl="4" w:tentative="0">
      <w:start w:val="1"/>
      <w:numFmt w:val="lowerLetter"/>
      <w:lvlText w:val="%5)"/>
      <w:lvlJc w:val="left"/>
      <w:pPr>
        <w:ind w:left="2805" w:hanging="420"/>
      </w:pPr>
      <w:rPr>
        <w:rFonts w:cs="Times New Roman"/>
      </w:rPr>
    </w:lvl>
    <w:lvl w:ilvl="5" w:tentative="0">
      <w:start w:val="1"/>
      <w:numFmt w:val="lowerRoman"/>
      <w:lvlText w:val="%6."/>
      <w:lvlJc w:val="right"/>
      <w:pPr>
        <w:ind w:left="3225" w:hanging="420"/>
      </w:pPr>
      <w:rPr>
        <w:rFonts w:cs="Times New Roman"/>
      </w:rPr>
    </w:lvl>
    <w:lvl w:ilvl="6" w:tentative="0">
      <w:start w:val="1"/>
      <w:numFmt w:val="decimal"/>
      <w:lvlText w:val="%7."/>
      <w:lvlJc w:val="left"/>
      <w:pPr>
        <w:ind w:left="3645" w:hanging="420"/>
      </w:pPr>
      <w:rPr>
        <w:rFonts w:cs="Times New Roman"/>
      </w:rPr>
    </w:lvl>
    <w:lvl w:ilvl="7" w:tentative="0">
      <w:start w:val="1"/>
      <w:numFmt w:val="lowerLetter"/>
      <w:lvlText w:val="%8)"/>
      <w:lvlJc w:val="left"/>
      <w:pPr>
        <w:ind w:left="4065" w:hanging="420"/>
      </w:pPr>
      <w:rPr>
        <w:rFonts w:cs="Times New Roman"/>
      </w:rPr>
    </w:lvl>
    <w:lvl w:ilvl="8" w:tentative="0">
      <w:start w:val="1"/>
      <w:numFmt w:val="lowerRoman"/>
      <w:lvlText w:val="%9."/>
      <w:lvlJc w:val="right"/>
      <w:pPr>
        <w:ind w:left="4485" w:hanging="420"/>
      </w:pPr>
      <w:rPr>
        <w:rFonts w:cs="Times New Roman"/>
      </w:rPr>
    </w:lvl>
  </w:abstractNum>
  <w:abstractNum w:abstractNumId="1">
    <w:nsid w:val="59A62587"/>
    <w:multiLevelType w:val="singleLevel"/>
    <w:tmpl w:val="59A62587"/>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43"/>
    <w:rsid w:val="00040D04"/>
    <w:rsid w:val="00046EAD"/>
    <w:rsid w:val="000662B7"/>
    <w:rsid w:val="000A43B0"/>
    <w:rsid w:val="000C202A"/>
    <w:rsid w:val="000F0091"/>
    <w:rsid w:val="000F3BD2"/>
    <w:rsid w:val="00100CDB"/>
    <w:rsid w:val="00105C09"/>
    <w:rsid w:val="001071BD"/>
    <w:rsid w:val="00110BCD"/>
    <w:rsid w:val="0011617E"/>
    <w:rsid w:val="001207C4"/>
    <w:rsid w:val="00172D25"/>
    <w:rsid w:val="00175140"/>
    <w:rsid w:val="00176956"/>
    <w:rsid w:val="00185032"/>
    <w:rsid w:val="001A318D"/>
    <w:rsid w:val="001B584C"/>
    <w:rsid w:val="00204F73"/>
    <w:rsid w:val="0021278E"/>
    <w:rsid w:val="00215753"/>
    <w:rsid w:val="0026106F"/>
    <w:rsid w:val="0026722E"/>
    <w:rsid w:val="002917E9"/>
    <w:rsid w:val="002944B8"/>
    <w:rsid w:val="00295C21"/>
    <w:rsid w:val="002C04E0"/>
    <w:rsid w:val="002D0FB1"/>
    <w:rsid w:val="002D731E"/>
    <w:rsid w:val="003046A4"/>
    <w:rsid w:val="00313A00"/>
    <w:rsid w:val="00324977"/>
    <w:rsid w:val="00324EF7"/>
    <w:rsid w:val="00346D7D"/>
    <w:rsid w:val="00355793"/>
    <w:rsid w:val="0038549A"/>
    <w:rsid w:val="003B1310"/>
    <w:rsid w:val="003D598C"/>
    <w:rsid w:val="004114F5"/>
    <w:rsid w:val="00412E12"/>
    <w:rsid w:val="00450C94"/>
    <w:rsid w:val="004A35B7"/>
    <w:rsid w:val="004B0D68"/>
    <w:rsid w:val="004C29FA"/>
    <w:rsid w:val="004E3D48"/>
    <w:rsid w:val="005165A3"/>
    <w:rsid w:val="005178A6"/>
    <w:rsid w:val="0053188C"/>
    <w:rsid w:val="00543548"/>
    <w:rsid w:val="00557BEE"/>
    <w:rsid w:val="00561FDD"/>
    <w:rsid w:val="00562E04"/>
    <w:rsid w:val="00583409"/>
    <w:rsid w:val="005B55C4"/>
    <w:rsid w:val="005C1001"/>
    <w:rsid w:val="005C37C1"/>
    <w:rsid w:val="005E27E5"/>
    <w:rsid w:val="005F188C"/>
    <w:rsid w:val="00601789"/>
    <w:rsid w:val="00601B69"/>
    <w:rsid w:val="0061623F"/>
    <w:rsid w:val="00621618"/>
    <w:rsid w:val="00630AD9"/>
    <w:rsid w:val="00656847"/>
    <w:rsid w:val="00661343"/>
    <w:rsid w:val="006A5692"/>
    <w:rsid w:val="006B53D8"/>
    <w:rsid w:val="006B6B7F"/>
    <w:rsid w:val="006C7C00"/>
    <w:rsid w:val="006D7A62"/>
    <w:rsid w:val="006E5AE0"/>
    <w:rsid w:val="006F0257"/>
    <w:rsid w:val="00701202"/>
    <w:rsid w:val="00705C30"/>
    <w:rsid w:val="007258AD"/>
    <w:rsid w:val="007307AA"/>
    <w:rsid w:val="00734AD8"/>
    <w:rsid w:val="00744C0E"/>
    <w:rsid w:val="0076514C"/>
    <w:rsid w:val="00771B72"/>
    <w:rsid w:val="00773027"/>
    <w:rsid w:val="00774138"/>
    <w:rsid w:val="00785BE1"/>
    <w:rsid w:val="00796B9E"/>
    <w:rsid w:val="007A5168"/>
    <w:rsid w:val="007B288A"/>
    <w:rsid w:val="007F184E"/>
    <w:rsid w:val="007F76E5"/>
    <w:rsid w:val="00815901"/>
    <w:rsid w:val="008204B1"/>
    <w:rsid w:val="00834AF4"/>
    <w:rsid w:val="00836585"/>
    <w:rsid w:val="008454A9"/>
    <w:rsid w:val="00863401"/>
    <w:rsid w:val="00893647"/>
    <w:rsid w:val="008C7D42"/>
    <w:rsid w:val="008F0071"/>
    <w:rsid w:val="00900F66"/>
    <w:rsid w:val="00913827"/>
    <w:rsid w:val="00920B2B"/>
    <w:rsid w:val="00953CE8"/>
    <w:rsid w:val="0095604A"/>
    <w:rsid w:val="0096019E"/>
    <w:rsid w:val="009729A0"/>
    <w:rsid w:val="009C3B7C"/>
    <w:rsid w:val="009C659F"/>
    <w:rsid w:val="009E7E73"/>
    <w:rsid w:val="009F2763"/>
    <w:rsid w:val="009F6F75"/>
    <w:rsid w:val="00A01B31"/>
    <w:rsid w:val="00A21D91"/>
    <w:rsid w:val="00A2633C"/>
    <w:rsid w:val="00A26D50"/>
    <w:rsid w:val="00A33583"/>
    <w:rsid w:val="00A35D67"/>
    <w:rsid w:val="00A35FF2"/>
    <w:rsid w:val="00A54244"/>
    <w:rsid w:val="00A92C96"/>
    <w:rsid w:val="00A94F9D"/>
    <w:rsid w:val="00AC6E04"/>
    <w:rsid w:val="00AF312B"/>
    <w:rsid w:val="00B25D04"/>
    <w:rsid w:val="00B4570D"/>
    <w:rsid w:val="00B74137"/>
    <w:rsid w:val="00BA26A7"/>
    <w:rsid w:val="00BB3167"/>
    <w:rsid w:val="00BC3856"/>
    <w:rsid w:val="00BD402B"/>
    <w:rsid w:val="00BE0EE9"/>
    <w:rsid w:val="00BE5336"/>
    <w:rsid w:val="00BF12A5"/>
    <w:rsid w:val="00C237F1"/>
    <w:rsid w:val="00C23CFA"/>
    <w:rsid w:val="00C74E90"/>
    <w:rsid w:val="00CB3DEB"/>
    <w:rsid w:val="00CC6C41"/>
    <w:rsid w:val="00CD0FA4"/>
    <w:rsid w:val="00CD1048"/>
    <w:rsid w:val="00CD2C70"/>
    <w:rsid w:val="00D3489E"/>
    <w:rsid w:val="00D42ED4"/>
    <w:rsid w:val="00D44209"/>
    <w:rsid w:val="00D45DBF"/>
    <w:rsid w:val="00D57F42"/>
    <w:rsid w:val="00D83366"/>
    <w:rsid w:val="00D83D38"/>
    <w:rsid w:val="00D9674B"/>
    <w:rsid w:val="00DC2873"/>
    <w:rsid w:val="00DD6E8A"/>
    <w:rsid w:val="00DF211D"/>
    <w:rsid w:val="00DF7143"/>
    <w:rsid w:val="00E03851"/>
    <w:rsid w:val="00E105E5"/>
    <w:rsid w:val="00E129CC"/>
    <w:rsid w:val="00E249E2"/>
    <w:rsid w:val="00E24A8A"/>
    <w:rsid w:val="00E41A97"/>
    <w:rsid w:val="00E45110"/>
    <w:rsid w:val="00E6094E"/>
    <w:rsid w:val="00E705CA"/>
    <w:rsid w:val="00E77ED0"/>
    <w:rsid w:val="00EA0DCB"/>
    <w:rsid w:val="00EB36BC"/>
    <w:rsid w:val="00ED115F"/>
    <w:rsid w:val="00EE01E2"/>
    <w:rsid w:val="00F503AD"/>
    <w:rsid w:val="00F51E2E"/>
    <w:rsid w:val="00F54951"/>
    <w:rsid w:val="00F76EAD"/>
    <w:rsid w:val="00F81941"/>
    <w:rsid w:val="00FB2259"/>
    <w:rsid w:val="00FC0BE5"/>
    <w:rsid w:val="0363349D"/>
    <w:rsid w:val="06AB618A"/>
    <w:rsid w:val="075177E6"/>
    <w:rsid w:val="0A544072"/>
    <w:rsid w:val="0C4E0E2E"/>
    <w:rsid w:val="0D6D1EF4"/>
    <w:rsid w:val="0E1423E3"/>
    <w:rsid w:val="0F602962"/>
    <w:rsid w:val="103C3EAC"/>
    <w:rsid w:val="147509CF"/>
    <w:rsid w:val="14D15705"/>
    <w:rsid w:val="15A57A8B"/>
    <w:rsid w:val="181547A3"/>
    <w:rsid w:val="1A4E3797"/>
    <w:rsid w:val="1A66427E"/>
    <w:rsid w:val="1FD86F09"/>
    <w:rsid w:val="215B7CA7"/>
    <w:rsid w:val="260E54E3"/>
    <w:rsid w:val="271E2844"/>
    <w:rsid w:val="2BB160DE"/>
    <w:rsid w:val="2CE9181C"/>
    <w:rsid w:val="308074EF"/>
    <w:rsid w:val="3161528E"/>
    <w:rsid w:val="31D65E7B"/>
    <w:rsid w:val="36D52166"/>
    <w:rsid w:val="381C41F4"/>
    <w:rsid w:val="386B7262"/>
    <w:rsid w:val="3A8C586F"/>
    <w:rsid w:val="42020693"/>
    <w:rsid w:val="431A7CF2"/>
    <w:rsid w:val="47025182"/>
    <w:rsid w:val="4C095744"/>
    <w:rsid w:val="54C92BFA"/>
    <w:rsid w:val="56791781"/>
    <w:rsid w:val="5740570A"/>
    <w:rsid w:val="58235CD0"/>
    <w:rsid w:val="58610E98"/>
    <w:rsid w:val="5CE42B4A"/>
    <w:rsid w:val="5D733DC2"/>
    <w:rsid w:val="5EF457AC"/>
    <w:rsid w:val="65C8360A"/>
    <w:rsid w:val="69FC3562"/>
    <w:rsid w:val="6B9B7DD8"/>
    <w:rsid w:val="6CDB0E8C"/>
    <w:rsid w:val="6CE16BE2"/>
    <w:rsid w:val="6FA53379"/>
    <w:rsid w:val="70A92F38"/>
    <w:rsid w:val="74B84DC5"/>
    <w:rsid w:val="761A1572"/>
    <w:rsid w:val="76362BA8"/>
    <w:rsid w:val="76DB7875"/>
    <w:rsid w:val="796A629A"/>
    <w:rsid w:val="79A3560F"/>
    <w:rsid w:val="79A9356C"/>
    <w:rsid w:val="7BB0647C"/>
    <w:rsid w:val="7C744C89"/>
    <w:rsid w:val="7E544650"/>
    <w:rsid w:val="7F5F12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99"/>
    <w:rPr>
      <w:rFonts w:cs="Times New Roman"/>
      <w:b/>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99"/>
    <w:pPr>
      <w:ind w:firstLine="420" w:firstLineChars="200"/>
    </w:pPr>
  </w:style>
  <w:style w:type="character" w:customStyle="1" w:styleId="11">
    <w:name w:val="页眉 Char"/>
    <w:basedOn w:val="7"/>
    <w:link w:val="5"/>
    <w:semiHidden/>
    <w:qFormat/>
    <w:locked/>
    <w:uiPriority w:val="99"/>
    <w:rPr>
      <w:rFonts w:cs="Times New Roman"/>
      <w:sz w:val="18"/>
      <w:szCs w:val="18"/>
    </w:rPr>
  </w:style>
  <w:style w:type="character" w:customStyle="1" w:styleId="12">
    <w:name w:val="页脚 Char"/>
    <w:basedOn w:val="7"/>
    <w:link w:val="4"/>
    <w:semiHidden/>
    <w:qFormat/>
    <w:locked/>
    <w:uiPriority w:val="99"/>
    <w:rPr>
      <w:rFonts w:cs="Times New Roman"/>
      <w:sz w:val="18"/>
      <w:szCs w:val="18"/>
    </w:rPr>
  </w:style>
  <w:style w:type="character" w:customStyle="1" w:styleId="13">
    <w:name w:val="批注框文本 Char"/>
    <w:basedOn w:val="7"/>
    <w:link w:val="3"/>
    <w:semiHidden/>
    <w:qFormat/>
    <w:uiPriority w:val="99"/>
    <w:rPr>
      <w:sz w:val="0"/>
      <w:szCs w:val="0"/>
    </w:rPr>
  </w:style>
  <w:style w:type="character" w:customStyle="1" w:styleId="14">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31DA9-F943-4013-94DE-7B75E630A617}">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17</Pages>
  <Words>7947</Words>
  <Characters>765</Characters>
  <Lines>6</Lines>
  <Paragraphs>17</Paragraphs>
  <TotalTime>920</TotalTime>
  <ScaleCrop>false</ScaleCrop>
  <LinksUpToDate>false</LinksUpToDate>
  <CharactersWithSpaces>8695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2018-07-05T08:30:00Z</dcterms:created>
  <dc:creator>China</dc:creator>
  <cp:lastModifiedBy>9 5 2 7</cp:lastModifiedBy>
  <cp:lastPrinted>2020-07-21T07:20:00Z</cp:lastPrinted>
  <dcterms:modified xsi:type="dcterms:W3CDTF">2020-10-09T02:36:35Z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