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jc w:val="center"/>
        <w:rPr>
          <w:rFonts w:hint="eastAsia" w:ascii="黑体" w:hAnsi="黑体" w:eastAsia="黑体" w:cs="宋体"/>
          <w:color w:val="000000"/>
          <w:kern w:val="0"/>
          <w:sz w:val="44"/>
          <w:szCs w:val="44"/>
        </w:rPr>
      </w:pPr>
    </w:p>
    <w:p>
      <w:pPr>
        <w:widowControl/>
        <w:shd w:val="clear" w:color="auto" w:fill="FFFFFF"/>
        <w:spacing w:line="720" w:lineRule="atLeast"/>
        <w:jc w:val="center"/>
        <w:rPr>
          <w:rFonts w:hint="eastAsia" w:ascii="黑体" w:hAnsi="黑体" w:eastAsia="黑体" w:cs="宋体"/>
          <w:color w:val="000000"/>
          <w:kern w:val="0"/>
          <w:sz w:val="44"/>
          <w:szCs w:val="44"/>
          <w:lang w:eastAsia="zh-CN"/>
        </w:rPr>
      </w:pPr>
      <w:r>
        <w:rPr>
          <w:rFonts w:hint="eastAsia" w:ascii="黑体" w:hAnsi="黑体" w:eastAsia="黑体" w:cs="宋体"/>
          <w:color w:val="000000"/>
          <w:kern w:val="0"/>
          <w:sz w:val="44"/>
          <w:szCs w:val="44"/>
        </w:rPr>
        <w:t>保靖县</w:t>
      </w:r>
      <w:r>
        <w:rPr>
          <w:rFonts w:hint="eastAsia" w:ascii="黑体" w:hAnsi="黑体" w:eastAsia="黑体" w:cs="宋体"/>
          <w:color w:val="000000"/>
          <w:kern w:val="0"/>
          <w:sz w:val="44"/>
          <w:szCs w:val="44"/>
          <w:lang w:eastAsia="zh-CN"/>
        </w:rPr>
        <w:t>库</w:t>
      </w:r>
      <w:bookmarkStart w:id="28" w:name="_GoBack"/>
      <w:bookmarkEnd w:id="28"/>
      <w:r>
        <w:rPr>
          <w:rFonts w:hint="eastAsia" w:ascii="黑体" w:hAnsi="黑体" w:eastAsia="黑体" w:cs="宋体"/>
          <w:color w:val="000000"/>
          <w:kern w:val="0"/>
          <w:sz w:val="44"/>
          <w:szCs w:val="44"/>
          <w:lang w:eastAsia="zh-CN"/>
        </w:rPr>
        <w:t>区移民事务中心</w:t>
      </w:r>
    </w:p>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201</w:t>
      </w:r>
      <w:r>
        <w:rPr>
          <w:rFonts w:hint="eastAsia" w:ascii="黑体" w:hAnsi="黑体" w:eastAsia="黑体" w:cs="宋体"/>
          <w:color w:val="000000"/>
          <w:kern w:val="0"/>
          <w:sz w:val="44"/>
          <w:szCs w:val="44"/>
          <w:lang w:val="en-US" w:eastAsia="zh-CN"/>
        </w:rPr>
        <w:t>9</w:t>
      </w:r>
      <w:r>
        <w:rPr>
          <w:rFonts w:hint="eastAsia" w:ascii="黑体" w:hAnsi="黑体" w:eastAsia="黑体" w:cs="宋体"/>
          <w:color w:val="000000"/>
          <w:kern w:val="0"/>
          <w:sz w:val="44"/>
          <w:szCs w:val="44"/>
        </w:rPr>
        <w:t>年度财政性资金整体支出绩效评价</w:t>
      </w:r>
    </w:p>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自评报告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宋体" w:hAnsi="宋体" w:eastAsia="宋体" w:cs="宋体"/>
          <w:color w:val="000000"/>
          <w:kern w:val="0"/>
          <w:sz w:val="16"/>
          <w:szCs w:val="16"/>
        </w:rPr>
      </w:pPr>
      <w:r>
        <w:rPr>
          <w:rFonts w:ascii="Times New Roman" w:hAnsi="Times New Roman" w:eastAsia="宋体" w:cs="Times New Roman"/>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为加强财政资金管理，强化支出责任，提高财政资金的使用效益，建立科学、合理的财政支出绩效评价管理体系，根据县财政局《关于开展201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eastAsia="zh-CN"/>
        </w:rPr>
        <w:t>度</w:t>
      </w:r>
      <w:r>
        <w:rPr>
          <w:rFonts w:hint="eastAsia" w:ascii="仿宋_GB2312" w:hAnsi="仿宋_GB2312" w:eastAsia="仿宋_GB2312" w:cs="仿宋_GB2312"/>
          <w:color w:val="000000"/>
          <w:kern w:val="0"/>
          <w:sz w:val="32"/>
          <w:szCs w:val="32"/>
        </w:rPr>
        <w:t>财政性资金绩效评价</w:t>
      </w:r>
      <w:r>
        <w:rPr>
          <w:rFonts w:hint="eastAsia" w:ascii="仿宋_GB2312" w:hAnsi="仿宋_GB2312" w:eastAsia="仿宋_GB2312" w:cs="仿宋_GB2312"/>
          <w:color w:val="000000"/>
          <w:kern w:val="0"/>
          <w:sz w:val="32"/>
          <w:szCs w:val="32"/>
          <w:lang w:eastAsia="zh-CN"/>
        </w:rPr>
        <w:t>工作</w:t>
      </w:r>
      <w:r>
        <w:rPr>
          <w:rFonts w:hint="eastAsia" w:ascii="仿宋_GB2312" w:hAnsi="仿宋_GB2312" w:eastAsia="仿宋_GB2312" w:cs="仿宋_GB2312"/>
          <w:color w:val="000000"/>
          <w:kern w:val="0"/>
          <w:sz w:val="32"/>
          <w:szCs w:val="32"/>
        </w:rPr>
        <w:t>的通知》（保财绩〔20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号），我</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于20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月，组织财务、政工及办公室人员对本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年部门财政性资金整体支出绩效进行了自评，本次评价遵循了“科学规范、公正公开、分类管理、绩效相关”的原则，运用科学、合理的绩效评价指标、评价标准和评价方法，对本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年度部门财政性资金整体支出的绩效情况进行客观、公正的自评。现将情况报告如下：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30"/>
        <w:jc w:val="left"/>
        <w:textAlignment w:val="auto"/>
        <w:rPr>
          <w:rFonts w:hint="eastAsia" w:ascii="仿宋_GB2312" w:hAnsi="仿宋_GB2312" w:eastAsia="仿宋_GB2312" w:cs="仿宋_GB2312"/>
          <w:b/>
          <w:color w:val="000000"/>
          <w:kern w:val="0"/>
          <w:sz w:val="32"/>
          <w:szCs w:val="32"/>
        </w:rPr>
      </w:pPr>
      <w:bookmarkStart w:id="0" w:name="_Toc27446"/>
      <w:r>
        <w:rPr>
          <w:rFonts w:hint="eastAsia" w:ascii="仿宋_GB2312" w:hAnsi="仿宋_GB2312" w:eastAsia="仿宋_GB2312" w:cs="仿宋_GB2312"/>
          <w:b/>
          <w:color w:val="434343"/>
          <w:kern w:val="0"/>
          <w:sz w:val="32"/>
          <w:szCs w:val="32"/>
        </w:rPr>
        <w:t>一、基本情况</w:t>
      </w:r>
      <w:bookmarkEnd w:id="0"/>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30"/>
        <w:jc w:val="left"/>
        <w:textAlignment w:val="auto"/>
        <w:rPr>
          <w:rFonts w:hint="eastAsia" w:ascii="仿宋_GB2312" w:hAnsi="仿宋_GB2312" w:eastAsia="仿宋_GB2312" w:cs="仿宋_GB2312"/>
          <w:color w:val="000000"/>
          <w:kern w:val="0"/>
          <w:sz w:val="32"/>
          <w:szCs w:val="32"/>
        </w:rPr>
      </w:pPr>
      <w:bookmarkStart w:id="1" w:name="_Toc31396"/>
      <w:r>
        <w:rPr>
          <w:rFonts w:hint="eastAsia" w:ascii="仿宋_GB2312" w:hAnsi="仿宋_GB2312" w:eastAsia="仿宋_GB2312" w:cs="仿宋_GB2312"/>
          <w:b/>
          <w:bCs/>
          <w:color w:val="434343"/>
          <w:kern w:val="0"/>
          <w:sz w:val="32"/>
          <w:szCs w:val="32"/>
        </w:rPr>
        <w:t>1</w:t>
      </w:r>
      <w:bookmarkEnd w:id="1"/>
      <w:r>
        <w:rPr>
          <w:rFonts w:hint="eastAsia" w:ascii="仿宋_GB2312" w:hAnsi="仿宋_GB2312" w:eastAsia="仿宋_GB2312" w:cs="仿宋_GB2312"/>
          <w:b/>
          <w:bCs/>
          <w:color w:val="000000"/>
          <w:kern w:val="0"/>
          <w:sz w:val="32"/>
          <w:szCs w:val="32"/>
        </w:rPr>
        <w:t>、部门职责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为移民生产开发提供服务和保障；移民生产开发服务；技术培训；移民资金管理使用。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 xml:space="preserve"> 2、主要工作任务</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一是研究制定全县移民工作政策，经批准后组织实施。</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二是适应社会主义市场经济和构建社会主义和谐社会的需要，探索开发性移民管理的新机制，总结推广典型经验，做好移民生产、开发与管理工作。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20"/>
        <w:jc w:val="left"/>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三是按有关规定管理移民资金和资产；搞好移民直补资金的发放工作。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 xml:space="preserve"> 四是负责全县移民信访接待工作，协调各乡镇做好库区、移民安置区的社会稳定工作。</w:t>
      </w:r>
      <w:r>
        <w:rPr>
          <w:rFonts w:hint="eastAsia" w:ascii="仿宋_GB2312" w:hAnsi="仿宋_GB2312" w:eastAsia="仿宋_GB2312" w:cs="仿宋_GB2312"/>
          <w:color w:val="333333"/>
          <w:kern w:val="0"/>
          <w:sz w:val="32"/>
          <w:szCs w:val="32"/>
          <w:shd w:val="clear" w:color="auto" w:fill="FFFFFF"/>
        </w:rPr>
        <w:br w:type="textWrapping"/>
      </w:r>
      <w:r>
        <w:rPr>
          <w:rFonts w:hint="eastAsia" w:ascii="仿宋_GB2312" w:hAnsi="仿宋_GB2312" w:eastAsia="仿宋_GB2312" w:cs="仿宋_GB2312"/>
          <w:color w:val="333333"/>
          <w:kern w:val="0"/>
          <w:sz w:val="32"/>
          <w:szCs w:val="32"/>
          <w:shd w:val="clear" w:color="auto" w:fill="FFFFFF"/>
        </w:rPr>
        <w:t>　　五是组织实施全县移民干部和移民区基层骨干以及移民实用技术和职业技能的培训工作。</w:t>
      </w:r>
      <w:r>
        <w:rPr>
          <w:rFonts w:hint="eastAsia" w:ascii="仿宋_GB2312" w:hAnsi="仿宋_GB2312" w:eastAsia="仿宋_GB2312" w:cs="仿宋_GB2312"/>
          <w:color w:val="333333"/>
          <w:kern w:val="0"/>
          <w:sz w:val="32"/>
          <w:szCs w:val="32"/>
          <w:shd w:val="clear" w:color="auto" w:fill="FFFFFF"/>
        </w:rPr>
        <w:br w:type="textWrapping"/>
      </w:r>
      <w:r>
        <w:rPr>
          <w:rFonts w:hint="eastAsia" w:ascii="仿宋_GB2312" w:hAnsi="仿宋_GB2312" w:eastAsia="仿宋_GB2312" w:cs="仿宋_GB2312"/>
          <w:color w:val="333333"/>
          <w:kern w:val="0"/>
          <w:sz w:val="32"/>
          <w:szCs w:val="32"/>
          <w:shd w:val="clear" w:color="auto" w:fill="FFFFFF"/>
        </w:rPr>
        <w:t>　　六是承办县委、县人民政府交办的其他事项。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0"/>
        <w:jc w:val="left"/>
        <w:textAlignment w:val="auto"/>
        <w:rPr>
          <w:rFonts w:hint="eastAsia" w:ascii="仿宋_GB2312" w:hAnsi="仿宋_GB2312" w:eastAsia="仿宋_GB2312" w:cs="仿宋_GB2312"/>
          <w:b/>
          <w:bCs/>
          <w:color w:val="000000"/>
          <w:kern w:val="0"/>
          <w:sz w:val="32"/>
          <w:szCs w:val="32"/>
        </w:rPr>
      </w:pPr>
      <w:bookmarkStart w:id="2" w:name="_Toc13972"/>
      <w:r>
        <w:rPr>
          <w:rFonts w:hint="eastAsia" w:ascii="仿宋_GB2312" w:hAnsi="仿宋_GB2312" w:eastAsia="仿宋_GB2312" w:cs="仿宋_GB2312"/>
          <w:b/>
          <w:bCs/>
          <w:color w:val="434343"/>
          <w:kern w:val="0"/>
          <w:sz w:val="32"/>
          <w:szCs w:val="32"/>
        </w:rPr>
        <w:t>3、内设机构和人员编制</w:t>
      </w:r>
      <w:bookmarkEnd w:id="2"/>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为事业全额拨款单位。</w:t>
      </w:r>
      <w:r>
        <w:rPr>
          <w:rFonts w:hint="eastAsia" w:ascii="仿宋_GB2312" w:hAnsi="仿宋_GB2312" w:eastAsia="仿宋_GB2312" w:cs="仿宋_GB2312"/>
          <w:color w:val="000000"/>
          <w:sz w:val="32"/>
          <w:szCs w:val="32"/>
          <w:shd w:val="clear" w:color="auto" w:fill="FFFFFF"/>
        </w:rPr>
        <w:t>内设办公室、计财股、政策法规室、政工股、项目办五个股室。</w:t>
      </w:r>
      <w:r>
        <w:rPr>
          <w:rFonts w:hint="eastAsia" w:ascii="仿宋_GB2312" w:hAnsi="仿宋_GB2312" w:eastAsia="仿宋_GB2312" w:cs="仿宋_GB2312"/>
          <w:sz w:val="32"/>
          <w:szCs w:val="32"/>
        </w:rPr>
        <w:t>核定编制27人，年末财政供养人员实有人数2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bookmarkStart w:id="3" w:name="_Toc20497"/>
      <w:r>
        <w:rPr>
          <w:rFonts w:hint="eastAsia" w:ascii="仿宋_GB2312" w:hAnsi="仿宋_GB2312" w:eastAsia="仿宋_GB2312" w:cs="仿宋_GB2312"/>
          <w:b/>
          <w:color w:val="434343"/>
          <w:kern w:val="0"/>
          <w:sz w:val="32"/>
          <w:szCs w:val="32"/>
        </w:rPr>
        <w:t>二、部门财政性资金支出规模、使用方向和内容</w:t>
      </w:r>
      <w:bookmarkEnd w:id="3"/>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b/>
          <w:bCs/>
          <w:color w:val="434343"/>
          <w:kern w:val="0"/>
          <w:sz w:val="32"/>
          <w:szCs w:val="32"/>
        </w:rPr>
      </w:pPr>
      <w:bookmarkStart w:id="4" w:name="_Toc27094"/>
      <w:bookmarkEnd w:id="4"/>
      <w:bookmarkStart w:id="5" w:name="_Toc25655"/>
      <w:r>
        <w:rPr>
          <w:rFonts w:hint="eastAsia" w:ascii="仿宋_GB2312" w:hAnsi="仿宋_GB2312" w:eastAsia="仿宋_GB2312" w:cs="仿宋_GB2312"/>
          <w:b/>
          <w:bCs/>
          <w:color w:val="434343"/>
          <w:kern w:val="0"/>
          <w:sz w:val="32"/>
          <w:szCs w:val="32"/>
        </w:rPr>
        <w:t>（一）年度预算收支情况</w:t>
      </w:r>
      <w:bookmarkEnd w:id="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年收入预算情况。</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年县财政局批复（保财函[201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101</w:t>
      </w:r>
      <w:r>
        <w:rPr>
          <w:rFonts w:hint="eastAsia" w:ascii="仿宋_GB2312" w:hAnsi="仿宋_GB2312" w:eastAsia="仿宋_GB2312" w:cs="仿宋_GB2312"/>
          <w:color w:val="000000"/>
          <w:kern w:val="0"/>
          <w:sz w:val="32"/>
          <w:szCs w:val="32"/>
        </w:rPr>
        <w:t>号）预算总收入</w:t>
      </w:r>
      <w:r>
        <w:rPr>
          <w:rFonts w:hint="eastAsia" w:ascii="仿宋_GB2312" w:hAnsi="仿宋_GB2312" w:eastAsia="仿宋_GB2312" w:cs="仿宋_GB2312"/>
          <w:color w:val="000000"/>
          <w:kern w:val="0"/>
          <w:sz w:val="32"/>
          <w:szCs w:val="32"/>
          <w:lang w:val="en-US" w:eastAsia="zh-CN"/>
        </w:rPr>
        <w:t>324.42</w:t>
      </w:r>
      <w:r>
        <w:rPr>
          <w:rFonts w:hint="eastAsia" w:ascii="仿宋_GB2312" w:hAnsi="仿宋_GB2312" w:eastAsia="仿宋_GB2312" w:cs="仿宋_GB2312"/>
          <w:color w:val="000000"/>
          <w:kern w:val="0"/>
          <w:sz w:val="32"/>
          <w:szCs w:val="32"/>
        </w:rPr>
        <w:t>万元，其中一般公共预算拨款</w:t>
      </w:r>
      <w:r>
        <w:rPr>
          <w:rFonts w:hint="eastAsia" w:ascii="仿宋_GB2312" w:hAnsi="仿宋_GB2312" w:eastAsia="仿宋_GB2312" w:cs="仿宋_GB2312"/>
          <w:color w:val="000000"/>
          <w:kern w:val="0"/>
          <w:sz w:val="32"/>
          <w:szCs w:val="32"/>
          <w:lang w:val="en-US" w:eastAsia="zh-CN"/>
        </w:rPr>
        <w:t>324.42</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年支出预算情况。201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年预算总支出</w:t>
      </w:r>
      <w:r>
        <w:rPr>
          <w:rFonts w:hint="eastAsia" w:ascii="仿宋_GB2312" w:hAnsi="仿宋_GB2312" w:eastAsia="仿宋_GB2312" w:cs="仿宋_GB2312"/>
          <w:color w:val="000000"/>
          <w:kern w:val="0"/>
          <w:sz w:val="32"/>
          <w:szCs w:val="32"/>
          <w:lang w:val="en-US" w:eastAsia="zh-CN"/>
        </w:rPr>
        <w:t>324.42</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sz w:val="32"/>
          <w:szCs w:val="32"/>
        </w:rPr>
        <w:t>元。</w:t>
      </w:r>
      <w:r>
        <w:rPr>
          <w:rFonts w:hint="eastAsia" w:ascii="仿宋_GB2312" w:hAnsi="仿宋_GB2312" w:eastAsia="仿宋_GB2312" w:cs="仿宋_GB2312"/>
          <w:color w:val="000000"/>
          <w:kern w:val="0"/>
          <w:sz w:val="32"/>
          <w:szCs w:val="32"/>
        </w:rPr>
        <w:t>其中：</w:t>
      </w:r>
      <w:r>
        <w:rPr>
          <w:rFonts w:hint="eastAsia" w:ascii="仿宋_GB2312" w:hAnsi="仿宋_GB2312" w:eastAsia="仿宋_GB2312" w:cs="仿宋_GB2312"/>
          <w:sz w:val="32"/>
          <w:szCs w:val="32"/>
        </w:rPr>
        <w:t>基本支出</w:t>
      </w:r>
      <w:r>
        <w:rPr>
          <w:rFonts w:hint="eastAsia" w:ascii="仿宋_GB2312" w:hAnsi="仿宋_GB2312" w:eastAsia="仿宋_GB2312" w:cs="仿宋_GB2312"/>
          <w:color w:val="000000"/>
          <w:kern w:val="0"/>
          <w:sz w:val="32"/>
          <w:szCs w:val="32"/>
          <w:lang w:val="en-US" w:eastAsia="zh-CN"/>
        </w:rPr>
        <w:t>324.42</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sz w:val="32"/>
          <w:szCs w:val="32"/>
        </w:rPr>
        <w:t>元，项目支出0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434343"/>
          <w:kern w:val="0"/>
          <w:sz w:val="32"/>
          <w:szCs w:val="32"/>
        </w:rPr>
      </w:pPr>
      <w:r>
        <w:rPr>
          <w:rFonts w:hint="eastAsia" w:ascii="仿宋_GB2312" w:hAnsi="仿宋_GB2312" w:eastAsia="仿宋_GB2312" w:cs="仿宋_GB2312"/>
          <w:color w:val="000000"/>
          <w:kern w:val="0"/>
          <w:sz w:val="32"/>
          <w:szCs w:val="32"/>
          <w:lang w:eastAsia="zh-CN"/>
        </w:rPr>
        <w:t>总支出</w:t>
      </w:r>
      <w:r>
        <w:rPr>
          <w:rFonts w:hint="eastAsia" w:ascii="仿宋_GB2312" w:hAnsi="仿宋_GB2312" w:eastAsia="仿宋_GB2312" w:cs="仿宋_GB2312"/>
          <w:color w:val="000000"/>
          <w:kern w:val="0"/>
          <w:sz w:val="32"/>
          <w:szCs w:val="32"/>
          <w:lang w:val="en-US" w:eastAsia="zh-CN"/>
        </w:rPr>
        <w:t>324.42万元，其中：</w:t>
      </w:r>
      <w:r>
        <w:rPr>
          <w:rFonts w:hint="eastAsia" w:ascii="仿宋_GB2312" w:hAnsi="仿宋_GB2312" w:eastAsia="仿宋_GB2312" w:cs="仿宋_GB2312"/>
          <w:color w:val="000000"/>
          <w:kern w:val="0"/>
          <w:sz w:val="32"/>
          <w:szCs w:val="32"/>
        </w:rPr>
        <w:t>工资福利支出</w:t>
      </w:r>
      <w:r>
        <w:rPr>
          <w:rFonts w:hint="eastAsia" w:ascii="仿宋_GB2312" w:hAnsi="仿宋_GB2312" w:eastAsia="仿宋_GB2312" w:cs="仿宋_GB2312"/>
          <w:color w:val="000000"/>
          <w:kern w:val="0"/>
          <w:sz w:val="32"/>
          <w:szCs w:val="32"/>
          <w:lang w:val="en-US" w:eastAsia="zh-CN"/>
        </w:rPr>
        <w:t>267.78</w:t>
      </w:r>
      <w:r>
        <w:rPr>
          <w:rFonts w:hint="eastAsia" w:ascii="仿宋_GB2312" w:hAnsi="仿宋_GB2312" w:eastAsia="仿宋_GB2312" w:cs="仿宋_GB2312"/>
          <w:color w:val="000000"/>
          <w:kern w:val="0"/>
          <w:sz w:val="32"/>
          <w:szCs w:val="32"/>
        </w:rPr>
        <w:t>万元，对个人和家庭</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补助</w:t>
      </w:r>
      <w:r>
        <w:rPr>
          <w:rFonts w:hint="eastAsia" w:ascii="仿宋_GB2312" w:hAnsi="仿宋_GB2312" w:eastAsia="仿宋_GB2312" w:cs="仿宋_GB2312"/>
          <w:color w:val="000000"/>
          <w:kern w:val="0"/>
          <w:sz w:val="32"/>
          <w:szCs w:val="32"/>
          <w:lang w:val="en-US" w:eastAsia="zh-CN"/>
        </w:rPr>
        <w:t>5.72</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，车补</w:t>
      </w:r>
      <w:r>
        <w:rPr>
          <w:rFonts w:hint="eastAsia" w:ascii="仿宋_GB2312" w:hAnsi="仿宋_GB2312" w:eastAsia="仿宋_GB2312" w:cs="仿宋_GB2312"/>
          <w:color w:val="000000"/>
          <w:kern w:val="0"/>
          <w:sz w:val="32"/>
          <w:szCs w:val="32"/>
          <w:lang w:val="en-US" w:eastAsia="zh-CN"/>
        </w:rPr>
        <w:t>19.92万元，公用经费26万元（其中：党建经费5.1万元，公用经费20.9万元），</w:t>
      </w:r>
      <w:r>
        <w:rPr>
          <w:rFonts w:hint="eastAsia" w:ascii="仿宋_GB2312" w:hAnsi="仿宋_GB2312" w:eastAsia="仿宋_GB2312" w:cs="仿宋_GB2312"/>
          <w:color w:val="000000"/>
          <w:kern w:val="0"/>
          <w:sz w:val="32"/>
          <w:szCs w:val="32"/>
          <w:lang w:eastAsia="zh-CN"/>
        </w:rPr>
        <w:t>单位专项经费</w:t>
      </w:r>
      <w:r>
        <w:rPr>
          <w:rFonts w:hint="eastAsia" w:ascii="仿宋_GB2312" w:hAnsi="仿宋_GB2312" w:eastAsia="仿宋_GB2312" w:cs="仿宋_GB2312"/>
          <w:color w:val="000000"/>
          <w:kern w:val="0"/>
          <w:sz w:val="32"/>
          <w:szCs w:val="32"/>
          <w:lang w:val="en-US" w:eastAsia="zh-CN"/>
        </w:rPr>
        <w:t>5万元（其中：移民后期扶持管理经费5万元）</w:t>
      </w:r>
      <w:r>
        <w:rPr>
          <w:rFonts w:hint="eastAsia" w:ascii="仿宋_GB2312" w:hAnsi="仿宋_GB2312" w:eastAsia="仿宋_GB2312" w:cs="仿宋_GB2312"/>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b/>
          <w:color w:val="000000"/>
          <w:kern w:val="0"/>
          <w:sz w:val="32"/>
          <w:szCs w:val="32"/>
        </w:rPr>
      </w:pPr>
      <w:bookmarkStart w:id="6" w:name="_Toc22075"/>
      <w:r>
        <w:rPr>
          <w:rFonts w:hint="eastAsia" w:ascii="仿宋_GB2312" w:hAnsi="仿宋_GB2312" w:eastAsia="仿宋_GB2312" w:cs="仿宋_GB2312"/>
          <w:b/>
          <w:bCs/>
          <w:color w:val="434343"/>
          <w:kern w:val="0"/>
          <w:sz w:val="32"/>
          <w:szCs w:val="32"/>
        </w:rPr>
        <w:t>（二）年度预算收支决算及结余情况</w:t>
      </w:r>
      <w:bookmarkEnd w:id="6"/>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20"/>
        <w:jc w:val="left"/>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bCs/>
          <w:color w:val="000000"/>
          <w:kern w:val="0"/>
          <w:sz w:val="32"/>
          <w:szCs w:val="32"/>
        </w:rPr>
        <w:t> </w:t>
      </w:r>
      <w:bookmarkStart w:id="7" w:name="_Toc23956"/>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434343"/>
          <w:kern w:val="0"/>
          <w:sz w:val="32"/>
          <w:szCs w:val="32"/>
        </w:rPr>
        <w:t>1</w:t>
      </w:r>
      <w:bookmarkEnd w:id="7"/>
      <w:r>
        <w:rPr>
          <w:rFonts w:hint="eastAsia" w:ascii="仿宋_GB2312" w:hAnsi="仿宋_GB2312" w:eastAsia="仿宋_GB2312" w:cs="仿宋_GB2312"/>
          <w:b/>
          <w:bCs/>
          <w:color w:val="000000"/>
          <w:kern w:val="0"/>
          <w:sz w:val="32"/>
          <w:szCs w:val="32"/>
        </w:rPr>
        <w:t>、年度预算收入决算情况</w:t>
      </w:r>
    </w:p>
    <w:p>
      <w:pPr>
        <w:keepNext w:val="0"/>
        <w:keepLines w:val="0"/>
        <w:pageBreakBefore w:val="0"/>
        <w:kinsoku/>
        <w:wordWrap/>
        <w:overflowPunct/>
        <w:topLinePunct w:val="0"/>
        <w:autoSpaceDE/>
        <w:autoSpaceDN/>
        <w:bidi w:val="0"/>
        <w:adjustRightInd/>
        <w:snapToGrid/>
        <w:spacing w:line="600" w:lineRule="exact"/>
        <w:ind w:firstLine="60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9"/>
          <w:kern w:val="0"/>
          <w:sz w:val="32"/>
          <w:szCs w:val="32"/>
        </w:rPr>
        <w:t>本</w:t>
      </w:r>
      <w:r>
        <w:rPr>
          <w:rFonts w:hint="eastAsia" w:ascii="仿宋_GB2312" w:hAnsi="仿宋_GB2312" w:eastAsia="仿宋_GB2312" w:cs="仿宋_GB2312"/>
          <w:color w:val="000000"/>
          <w:spacing w:val="-9"/>
          <w:kern w:val="0"/>
          <w:sz w:val="32"/>
          <w:szCs w:val="32"/>
          <w:lang w:eastAsia="zh-CN"/>
        </w:rPr>
        <w:t>中心</w:t>
      </w:r>
      <w:r>
        <w:rPr>
          <w:rFonts w:hint="eastAsia" w:ascii="仿宋_GB2312" w:hAnsi="仿宋_GB2312" w:eastAsia="仿宋_GB2312" w:cs="仿宋_GB2312"/>
          <w:color w:val="000000"/>
          <w:spacing w:val="-9"/>
          <w:kern w:val="0"/>
          <w:sz w:val="32"/>
          <w:szCs w:val="32"/>
        </w:rPr>
        <w:t>本年年终收入决算情况为：实际收到县财政</w:t>
      </w:r>
      <w:r>
        <w:rPr>
          <w:rFonts w:hint="eastAsia" w:ascii="仿宋_GB2312" w:hAnsi="仿宋_GB2312" w:eastAsia="仿宋_GB2312" w:cs="仿宋_GB2312"/>
          <w:color w:val="000000"/>
          <w:kern w:val="0"/>
          <w:sz w:val="32"/>
          <w:szCs w:val="32"/>
        </w:rPr>
        <w:t>一般公共预算</w:t>
      </w:r>
      <w:r>
        <w:rPr>
          <w:rFonts w:hint="eastAsia" w:ascii="仿宋_GB2312" w:hAnsi="仿宋_GB2312" w:eastAsia="仿宋_GB2312" w:cs="仿宋_GB2312"/>
          <w:color w:val="000000"/>
          <w:spacing w:val="-9"/>
          <w:kern w:val="0"/>
          <w:sz w:val="32"/>
          <w:szCs w:val="32"/>
        </w:rPr>
        <w:t>拨款收入</w:t>
      </w:r>
      <w:r>
        <w:rPr>
          <w:rFonts w:hint="eastAsia" w:ascii="仿宋_GB2312" w:hAnsi="仿宋_GB2312" w:eastAsia="仿宋_GB2312" w:cs="仿宋_GB2312"/>
          <w:color w:val="000000"/>
          <w:spacing w:val="-9"/>
          <w:kern w:val="0"/>
          <w:sz w:val="32"/>
          <w:szCs w:val="32"/>
          <w:lang w:val="en-US" w:eastAsia="zh-CN"/>
        </w:rPr>
        <w:t>324.42</w:t>
      </w:r>
      <w:r>
        <w:rPr>
          <w:rFonts w:hint="eastAsia" w:ascii="仿宋_GB2312" w:hAnsi="仿宋_GB2312" w:eastAsia="仿宋_GB2312" w:cs="仿宋_GB2312"/>
          <w:color w:val="000000"/>
          <w:spacing w:val="-9"/>
          <w:kern w:val="0"/>
          <w:sz w:val="32"/>
          <w:szCs w:val="32"/>
        </w:rPr>
        <w:t>万元</w:t>
      </w:r>
      <w:r>
        <w:rPr>
          <w:rFonts w:hint="eastAsia" w:ascii="仿宋_GB2312" w:hAnsi="仿宋_GB2312" w:eastAsia="仿宋_GB2312" w:cs="仿宋_GB2312"/>
          <w:color w:val="000000"/>
          <w:spacing w:val="-14"/>
          <w:kern w:val="0"/>
          <w:sz w:val="32"/>
          <w:szCs w:val="32"/>
          <w:lang w:val="en-US" w:eastAsia="zh-CN"/>
        </w:rPr>
        <w:t>,</w:t>
      </w:r>
      <w:r>
        <w:rPr>
          <w:rFonts w:hint="eastAsia" w:ascii="仿宋_GB2312" w:hAnsi="仿宋_GB2312" w:eastAsia="仿宋_GB2312" w:cs="仿宋_GB2312"/>
          <w:sz w:val="32"/>
          <w:szCs w:val="32"/>
        </w:rPr>
        <w:t>省财政追加其他水利支出12万元，共计</w:t>
      </w:r>
      <w:r>
        <w:rPr>
          <w:rFonts w:hint="eastAsia" w:ascii="仿宋_GB2312" w:hAnsi="仿宋_GB2312" w:eastAsia="仿宋_GB2312" w:cs="仿宋_GB2312"/>
          <w:sz w:val="32"/>
          <w:szCs w:val="32"/>
          <w:lang w:val="en-US" w:eastAsia="zh-CN"/>
        </w:rPr>
        <w:t>336.42</w:t>
      </w:r>
      <w:r>
        <w:rPr>
          <w:rFonts w:hint="eastAsia" w:ascii="仿宋_GB2312" w:hAnsi="仿宋_GB2312" w:eastAsia="仿宋_GB2312" w:cs="仿宋_GB2312"/>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000000"/>
          <w:kern w:val="0"/>
          <w:sz w:val="32"/>
          <w:szCs w:val="32"/>
        </w:rPr>
      </w:pPr>
      <w:bookmarkStart w:id="8" w:name="_Toc24652"/>
      <w:r>
        <w:rPr>
          <w:rFonts w:hint="eastAsia" w:ascii="仿宋_GB2312" w:hAnsi="仿宋_GB2312" w:eastAsia="仿宋_GB2312" w:cs="仿宋_GB2312"/>
          <w:b/>
          <w:bCs/>
          <w:color w:val="434343"/>
          <w:kern w:val="0"/>
          <w:sz w:val="32"/>
          <w:szCs w:val="32"/>
        </w:rPr>
        <w:t>2</w:t>
      </w:r>
      <w:bookmarkEnd w:id="8"/>
      <w:r>
        <w:rPr>
          <w:rFonts w:hint="eastAsia" w:ascii="仿宋_GB2312" w:hAnsi="仿宋_GB2312" w:eastAsia="仿宋_GB2312" w:cs="仿宋_GB2312"/>
          <w:b/>
          <w:bCs/>
          <w:color w:val="000000"/>
          <w:kern w:val="0"/>
          <w:sz w:val="32"/>
          <w:szCs w:val="32"/>
        </w:rPr>
        <w:t>、年度预算支出决算情况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color w:val="000000"/>
          <w:spacing w:val="-14"/>
          <w:kern w:val="0"/>
          <w:sz w:val="32"/>
          <w:szCs w:val="32"/>
        </w:rPr>
      </w:pPr>
      <w:r>
        <w:rPr>
          <w:rFonts w:hint="eastAsia" w:ascii="仿宋_GB2312" w:hAnsi="仿宋_GB2312" w:eastAsia="仿宋_GB2312" w:cs="仿宋_GB2312"/>
          <w:color w:val="000000"/>
          <w:spacing w:val="-14"/>
          <w:kern w:val="0"/>
          <w:sz w:val="32"/>
          <w:szCs w:val="32"/>
          <w:lang w:eastAsia="zh-CN"/>
        </w:rPr>
        <w:t>本中心</w:t>
      </w:r>
      <w:r>
        <w:rPr>
          <w:rFonts w:hint="eastAsia" w:ascii="仿宋_GB2312" w:hAnsi="仿宋_GB2312" w:eastAsia="仿宋_GB2312" w:cs="仿宋_GB2312"/>
          <w:color w:val="000000"/>
          <w:spacing w:val="-14"/>
          <w:kern w:val="0"/>
          <w:sz w:val="32"/>
          <w:szCs w:val="32"/>
        </w:rPr>
        <w:t>201</w:t>
      </w:r>
      <w:r>
        <w:rPr>
          <w:rFonts w:hint="eastAsia" w:ascii="仿宋_GB2312" w:hAnsi="仿宋_GB2312" w:eastAsia="仿宋_GB2312" w:cs="仿宋_GB2312"/>
          <w:color w:val="000000"/>
          <w:spacing w:val="-14"/>
          <w:kern w:val="0"/>
          <w:sz w:val="32"/>
          <w:szCs w:val="32"/>
          <w:lang w:val="en-US" w:eastAsia="zh-CN"/>
        </w:rPr>
        <w:t>9</w:t>
      </w:r>
      <w:r>
        <w:rPr>
          <w:rFonts w:hint="eastAsia" w:ascii="仿宋_GB2312" w:hAnsi="仿宋_GB2312" w:eastAsia="仿宋_GB2312" w:cs="仿宋_GB2312"/>
          <w:color w:val="000000"/>
          <w:spacing w:val="-14"/>
          <w:kern w:val="0"/>
          <w:sz w:val="32"/>
          <w:szCs w:val="32"/>
        </w:rPr>
        <w:t>年度支出决算金额合计为</w:t>
      </w:r>
      <w:r>
        <w:rPr>
          <w:rFonts w:hint="eastAsia" w:ascii="仿宋_GB2312" w:hAnsi="仿宋_GB2312" w:eastAsia="仿宋_GB2312" w:cs="仿宋_GB2312"/>
          <w:color w:val="000000"/>
          <w:spacing w:val="-14"/>
          <w:kern w:val="0"/>
          <w:sz w:val="32"/>
          <w:szCs w:val="32"/>
          <w:lang w:val="en-US" w:eastAsia="zh-CN"/>
        </w:rPr>
        <w:t>336.42</w:t>
      </w:r>
      <w:r>
        <w:rPr>
          <w:rFonts w:hint="eastAsia" w:ascii="仿宋_GB2312" w:hAnsi="仿宋_GB2312" w:eastAsia="仿宋_GB2312" w:cs="仿宋_GB2312"/>
          <w:color w:val="000000"/>
          <w:spacing w:val="-14"/>
          <w:kern w:val="0"/>
          <w:sz w:val="32"/>
          <w:szCs w:val="32"/>
        </w:rPr>
        <w:t>万元，其中人员经费</w:t>
      </w:r>
      <w:r>
        <w:rPr>
          <w:rFonts w:hint="eastAsia" w:ascii="仿宋_GB2312" w:hAnsi="仿宋_GB2312" w:eastAsia="仿宋_GB2312" w:cs="仿宋_GB2312"/>
          <w:color w:val="000000"/>
          <w:spacing w:val="-14"/>
          <w:kern w:val="0"/>
          <w:sz w:val="32"/>
          <w:szCs w:val="32"/>
          <w:lang w:val="en-US" w:eastAsia="zh-CN"/>
        </w:rPr>
        <w:t>284.77</w:t>
      </w:r>
      <w:r>
        <w:rPr>
          <w:rFonts w:hint="eastAsia" w:ascii="仿宋_GB2312" w:hAnsi="仿宋_GB2312" w:eastAsia="仿宋_GB2312" w:cs="仿宋_GB2312"/>
          <w:color w:val="000000"/>
          <w:spacing w:val="-14"/>
          <w:kern w:val="0"/>
          <w:sz w:val="32"/>
          <w:szCs w:val="32"/>
        </w:rPr>
        <w:t>万元，公用经费</w:t>
      </w:r>
      <w:r>
        <w:rPr>
          <w:rFonts w:hint="eastAsia" w:ascii="仿宋_GB2312" w:hAnsi="仿宋_GB2312" w:eastAsia="仿宋_GB2312" w:cs="仿宋_GB2312"/>
          <w:color w:val="000000"/>
          <w:spacing w:val="-14"/>
          <w:kern w:val="0"/>
          <w:sz w:val="32"/>
          <w:szCs w:val="32"/>
          <w:lang w:val="en-US" w:eastAsia="zh-CN"/>
        </w:rPr>
        <w:t>51.65</w:t>
      </w:r>
      <w:r>
        <w:rPr>
          <w:rFonts w:hint="eastAsia" w:ascii="仿宋_GB2312" w:hAnsi="仿宋_GB2312" w:eastAsia="仿宋_GB2312" w:cs="仿宋_GB2312"/>
          <w:color w:val="000000"/>
          <w:spacing w:val="-14"/>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w:t>
      </w:r>
      <w:r>
        <w:rPr>
          <w:rFonts w:hint="eastAsia" w:ascii="仿宋_GB2312" w:hAnsi="仿宋_GB2312" w:eastAsia="仿宋_GB2312" w:cs="仿宋_GB2312"/>
          <w:b/>
          <w:bCs/>
          <w:color w:val="000000"/>
          <w:kern w:val="0"/>
          <w:sz w:val="32"/>
          <w:szCs w:val="32"/>
          <w:lang w:val="en-US" w:eastAsia="zh-CN"/>
        </w:rPr>
        <w:t>、</w:t>
      </w:r>
      <w:r>
        <w:rPr>
          <w:rFonts w:hint="eastAsia" w:ascii="仿宋_GB2312" w:hAnsi="仿宋_GB2312" w:eastAsia="仿宋_GB2312" w:cs="仿宋_GB2312"/>
          <w:b/>
          <w:bCs/>
          <w:color w:val="000000"/>
          <w:kern w:val="0"/>
          <w:sz w:val="32"/>
          <w:szCs w:val="32"/>
        </w:rPr>
        <w:t>结余情况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财政一般公共预算资金期末</w:t>
      </w:r>
      <w:r>
        <w:rPr>
          <w:rFonts w:hint="eastAsia" w:ascii="仿宋_GB2312" w:hAnsi="仿宋_GB2312" w:eastAsia="仿宋_GB2312" w:cs="仿宋_GB2312"/>
          <w:color w:val="000000"/>
          <w:kern w:val="0"/>
          <w:sz w:val="32"/>
          <w:szCs w:val="32"/>
          <w:lang w:eastAsia="zh-CN"/>
        </w:rPr>
        <w:t>无</w:t>
      </w:r>
      <w:r>
        <w:rPr>
          <w:rFonts w:hint="eastAsia" w:ascii="仿宋_GB2312" w:hAnsi="仿宋_GB2312" w:eastAsia="仿宋_GB2312" w:cs="仿宋_GB2312"/>
          <w:color w:val="000000"/>
          <w:kern w:val="0"/>
          <w:sz w:val="32"/>
          <w:szCs w:val="32"/>
        </w:rPr>
        <w:t>结余。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color w:val="000000"/>
          <w:kern w:val="0"/>
          <w:sz w:val="32"/>
          <w:szCs w:val="32"/>
        </w:rPr>
      </w:pPr>
      <w:bookmarkStart w:id="9" w:name="_Toc19659"/>
      <w:r>
        <w:rPr>
          <w:rFonts w:hint="eastAsia" w:ascii="仿宋_GB2312" w:hAnsi="仿宋_GB2312" w:eastAsia="仿宋_GB2312" w:cs="仿宋_GB2312"/>
          <w:b/>
          <w:bCs/>
          <w:color w:val="434343"/>
          <w:kern w:val="0"/>
          <w:sz w:val="32"/>
          <w:szCs w:val="32"/>
        </w:rPr>
        <w:t>（三）</w:t>
      </w:r>
      <w:bookmarkEnd w:id="9"/>
      <w:r>
        <w:rPr>
          <w:rFonts w:hint="eastAsia" w:ascii="仿宋_GB2312" w:hAnsi="仿宋_GB2312" w:eastAsia="仿宋_GB2312" w:cs="仿宋_GB2312"/>
          <w:b/>
          <w:bCs/>
          <w:color w:val="000000"/>
          <w:kern w:val="0"/>
          <w:sz w:val="32"/>
          <w:szCs w:val="32"/>
        </w:rPr>
        <w:t>“三公经费”支出情况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年“三公”经费预算数为</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万元，其中：公务接待费</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万元、公务用车购置及运行</w:t>
      </w:r>
      <w:r>
        <w:rPr>
          <w:rFonts w:hint="eastAsia" w:ascii="仿宋_GB2312" w:hAnsi="仿宋_GB2312" w:eastAsia="仿宋_GB2312" w:cs="仿宋_GB2312"/>
          <w:color w:val="000000"/>
          <w:kern w:val="0"/>
          <w:sz w:val="32"/>
          <w:szCs w:val="32"/>
          <w:lang w:eastAsia="zh-CN"/>
        </w:rPr>
        <w:t>维护</w:t>
      </w:r>
      <w:r>
        <w:rPr>
          <w:rFonts w:hint="eastAsia" w:ascii="仿宋_GB2312" w:hAnsi="仿宋_GB2312" w:eastAsia="仿宋_GB2312" w:cs="仿宋_GB2312"/>
          <w:color w:val="000000"/>
          <w:kern w:val="0"/>
          <w:sz w:val="32"/>
          <w:szCs w:val="32"/>
        </w:rPr>
        <w:t>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年“三公”经费实际开支</w:t>
      </w:r>
      <w:r>
        <w:rPr>
          <w:rFonts w:hint="eastAsia" w:ascii="仿宋_GB2312" w:hAnsi="仿宋_GB2312" w:eastAsia="仿宋_GB2312" w:cs="仿宋_GB2312"/>
          <w:color w:val="000000"/>
          <w:kern w:val="0"/>
          <w:sz w:val="32"/>
          <w:szCs w:val="32"/>
          <w:lang w:val="en-US" w:eastAsia="zh-CN"/>
        </w:rPr>
        <w:t>0.74</w:t>
      </w:r>
      <w:r>
        <w:rPr>
          <w:rFonts w:hint="eastAsia" w:ascii="仿宋_GB2312" w:hAnsi="仿宋_GB2312" w:eastAsia="仿宋_GB2312" w:cs="仿宋_GB2312"/>
          <w:color w:val="000000"/>
          <w:kern w:val="0"/>
          <w:sz w:val="32"/>
          <w:szCs w:val="32"/>
        </w:rPr>
        <w:t>万元，其中：公务接待费</w:t>
      </w:r>
      <w:r>
        <w:rPr>
          <w:rFonts w:hint="eastAsia" w:ascii="仿宋_GB2312" w:hAnsi="仿宋_GB2312" w:eastAsia="仿宋_GB2312" w:cs="仿宋_GB2312"/>
          <w:color w:val="000000"/>
          <w:kern w:val="0"/>
          <w:sz w:val="32"/>
          <w:szCs w:val="32"/>
          <w:lang w:val="en-US" w:eastAsia="zh-CN"/>
        </w:rPr>
        <w:t>0.74</w:t>
      </w:r>
      <w:r>
        <w:rPr>
          <w:rFonts w:hint="eastAsia" w:ascii="仿宋_GB2312" w:hAnsi="仿宋_GB2312" w:eastAsia="仿宋_GB2312" w:cs="仿宋_GB2312"/>
          <w:color w:val="000000"/>
          <w:kern w:val="0"/>
          <w:sz w:val="32"/>
          <w:szCs w:val="32"/>
        </w:rPr>
        <w:t>万元、公务用车购置及</w:t>
      </w:r>
      <w:r>
        <w:rPr>
          <w:rFonts w:hint="eastAsia" w:ascii="仿宋_GB2312" w:hAnsi="仿宋_GB2312" w:eastAsia="仿宋_GB2312" w:cs="仿宋_GB2312"/>
          <w:color w:val="000000"/>
          <w:kern w:val="0"/>
          <w:sz w:val="32"/>
          <w:szCs w:val="32"/>
          <w:lang w:eastAsia="zh-CN"/>
        </w:rPr>
        <w:t>运行维护</w:t>
      </w:r>
      <w:r>
        <w:rPr>
          <w:rFonts w:hint="eastAsia" w:ascii="仿宋_GB2312" w:hAnsi="仿宋_GB2312" w:eastAsia="仿宋_GB2312" w:cs="仿宋_GB2312"/>
          <w:color w:val="000000"/>
          <w:kern w:val="0"/>
          <w:sz w:val="32"/>
          <w:szCs w:val="32"/>
        </w:rPr>
        <w:t>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bookmarkStart w:id="10" w:name="_Toc11401"/>
      <w:r>
        <w:rPr>
          <w:rFonts w:hint="eastAsia" w:ascii="仿宋_GB2312" w:hAnsi="仿宋_GB2312" w:eastAsia="仿宋_GB2312" w:cs="仿宋_GB2312"/>
          <w:b/>
          <w:color w:val="434343"/>
          <w:kern w:val="0"/>
          <w:sz w:val="32"/>
          <w:szCs w:val="32"/>
        </w:rPr>
        <w:t>三、部门财政性支出绩效情况</w:t>
      </w:r>
      <w:bookmarkEnd w:id="10"/>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年，根据年初计划的重点工作，本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通过对财政资金的使用，取得了如下绩效：</w:t>
      </w:r>
    </w:p>
    <w:p>
      <w:pPr>
        <w:keepNext w:val="0"/>
        <w:keepLines w:val="0"/>
        <w:pageBreakBefore w:val="0"/>
        <w:numPr>
          <w:ilvl w:val="0"/>
          <w:numId w:val="1"/>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bookmarkStart w:id="11" w:name="_Toc21519"/>
      <w:r>
        <w:rPr>
          <w:rFonts w:hint="eastAsia" w:ascii="仿宋_GB2312" w:hAnsi="仿宋_GB2312" w:eastAsia="仿宋_GB2312" w:cs="仿宋_GB2312"/>
          <w:b w:val="0"/>
          <w:bCs w:val="0"/>
          <w:kern w:val="0"/>
          <w:sz w:val="32"/>
          <w:szCs w:val="32"/>
          <w:lang w:val="en-US" w:eastAsia="zh-CN" w:bidi="ar-SA"/>
        </w:rPr>
        <w:t>基础设施建设：</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水利及基础设施继续改善。</w:t>
      </w:r>
      <w:r>
        <w:rPr>
          <w:rFonts w:hint="eastAsia" w:ascii="仿宋_GB2312" w:hAnsi="仿宋_GB2312" w:eastAsia="仿宋_GB2312" w:cs="仿宋_GB2312"/>
          <w:kern w:val="0"/>
          <w:sz w:val="32"/>
          <w:szCs w:val="32"/>
        </w:rPr>
        <w:t>投入</w:t>
      </w:r>
      <w:r>
        <w:rPr>
          <w:rFonts w:hint="eastAsia" w:ascii="仿宋_GB2312" w:hAnsi="仿宋_GB2312" w:eastAsia="仿宋_GB2312" w:cs="仿宋_GB2312"/>
          <w:kern w:val="0"/>
          <w:sz w:val="32"/>
          <w:szCs w:val="32"/>
          <w:lang w:val="en-US" w:eastAsia="zh-CN"/>
        </w:rPr>
        <w:t>183</w:t>
      </w:r>
      <w:r>
        <w:rPr>
          <w:rFonts w:hint="eastAsia" w:ascii="仿宋_GB2312" w:hAnsi="仿宋_GB2312" w:eastAsia="仿宋_GB2312" w:cs="仿宋_GB2312"/>
          <w:kern w:val="0"/>
          <w:sz w:val="32"/>
          <w:szCs w:val="32"/>
        </w:rPr>
        <w:t>万完成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水利</w:t>
      </w:r>
      <w:r>
        <w:rPr>
          <w:rFonts w:hint="eastAsia" w:ascii="仿宋_GB2312" w:hAnsi="仿宋_GB2312" w:eastAsia="仿宋_GB2312" w:cs="仿宋_GB2312"/>
          <w:kern w:val="0"/>
          <w:sz w:val="32"/>
          <w:szCs w:val="32"/>
        </w:rPr>
        <w:t>工程</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处，解决了</w:t>
      </w:r>
      <w:r>
        <w:rPr>
          <w:rFonts w:hint="eastAsia" w:ascii="仿宋_GB2312" w:hAnsi="仿宋_GB2312" w:eastAsia="仿宋_GB2312" w:cs="仿宋_GB2312"/>
          <w:kern w:val="0"/>
          <w:sz w:val="32"/>
          <w:szCs w:val="32"/>
          <w:lang w:val="en-US" w:eastAsia="zh-CN"/>
        </w:rPr>
        <w:t>800</w:t>
      </w:r>
      <w:r>
        <w:rPr>
          <w:rFonts w:hint="eastAsia" w:ascii="仿宋_GB2312" w:hAnsi="仿宋_GB2312" w:eastAsia="仿宋_GB2312" w:cs="仿宋_GB2312"/>
          <w:kern w:val="0"/>
          <w:sz w:val="32"/>
          <w:szCs w:val="32"/>
        </w:rPr>
        <w:t>多名移民的饮水困难问题；三是库区交通不断完善。全年</w:t>
      </w:r>
      <w:r>
        <w:rPr>
          <w:rFonts w:hint="eastAsia" w:ascii="仿宋_GB2312" w:hAnsi="仿宋_GB2312" w:eastAsia="仿宋_GB2312" w:cs="仿宋_GB2312"/>
          <w:sz w:val="32"/>
          <w:szCs w:val="32"/>
        </w:rPr>
        <w:t>新建和改善为库区交通及移民产业区道路</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.5公里。改善了</w:t>
      </w:r>
      <w:r>
        <w:rPr>
          <w:rFonts w:hint="eastAsia" w:ascii="仿宋_GB2312" w:hAnsi="仿宋_GB2312" w:eastAsia="仿宋_GB2312" w:cs="仿宋_GB2312"/>
          <w:sz w:val="32"/>
          <w:szCs w:val="32"/>
          <w:lang w:val="en-US" w:eastAsia="zh-CN"/>
        </w:rPr>
        <w:t>5300</w:t>
      </w:r>
      <w:r>
        <w:rPr>
          <w:rFonts w:hint="eastAsia" w:ascii="仿宋_GB2312" w:hAnsi="仿宋_GB2312" w:eastAsia="仿宋_GB2312" w:cs="仿宋_GB2312"/>
          <w:sz w:val="32"/>
          <w:szCs w:val="32"/>
        </w:rPr>
        <w:t>多库区移民群众的交通出行环境和生产生活条件。</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lang w:val="en-US" w:eastAsia="zh-CN" w:bidi="ar-SA"/>
        </w:rPr>
        <w:t>产业开发：</w:t>
      </w:r>
      <w:r>
        <w:rPr>
          <w:rFonts w:hint="eastAsia" w:ascii="仿宋_GB2312" w:hAnsi="仿宋_GB2312" w:eastAsia="仿宋_GB2312" w:cs="仿宋_GB2312"/>
          <w:bCs/>
          <w:sz w:val="32"/>
          <w:szCs w:val="32"/>
        </w:rPr>
        <w:t>围绕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两茶一果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大力扶持库区移民按照区域化布局、产业化经营、标准化建设的要求，打造有科技支撑、竞争力较强的移民特色产业。同时对有较好基础和市场前景的柑橘产业加强培管。一年来，</w:t>
      </w:r>
      <w:r>
        <w:rPr>
          <w:rFonts w:hint="eastAsia" w:ascii="仿宋_GB2312" w:hAnsi="仿宋_GB2312" w:eastAsia="仿宋_GB2312" w:cs="仿宋_GB2312"/>
          <w:sz w:val="32"/>
          <w:szCs w:val="32"/>
          <w:lang w:eastAsia="zh-CN"/>
        </w:rPr>
        <w:t>已完成拔茅村油茶产业开发</w:t>
      </w:r>
      <w:r>
        <w:rPr>
          <w:rFonts w:hint="eastAsia" w:ascii="仿宋_GB2312" w:hAnsi="仿宋_GB2312" w:eastAsia="仿宋_GB2312" w:cs="仿宋_GB2312"/>
          <w:sz w:val="32"/>
          <w:szCs w:val="32"/>
          <w:lang w:val="en-US" w:eastAsia="zh-CN"/>
        </w:rPr>
        <w:t>650亩；柳树坪村油茶产业开发268.3亩；首八峒村油茶产业开发400亩；亚渔村油茶产业开发284.6亩；押马村油茶产业开发466.7亩，共计2069.6亩。</w:t>
      </w:r>
      <w:r>
        <w:rPr>
          <w:rFonts w:hint="eastAsia" w:ascii="仿宋_GB2312" w:hAnsi="仿宋_GB2312" w:eastAsia="仿宋_GB2312" w:cs="仿宋_GB2312"/>
          <w:sz w:val="32"/>
          <w:szCs w:val="32"/>
        </w:rPr>
        <w:t>同时建立健全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联动机制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发展专业合作组织，为移民产业化经营提供政策、信息、技术等全方位服务，不断提升库区产业市场抗风险水平和移民的收入。</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移民培训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共投入</w:t>
      </w:r>
      <w:r>
        <w:rPr>
          <w:rFonts w:hint="eastAsia" w:ascii="仿宋_GB2312" w:hAnsi="仿宋_GB2312" w:eastAsia="仿宋_GB2312" w:cs="仿宋_GB2312"/>
          <w:kern w:val="0"/>
          <w:sz w:val="32"/>
          <w:szCs w:val="32"/>
          <w:lang w:val="en-US" w:eastAsia="zh-CN"/>
        </w:rPr>
        <w:t>21.926</w:t>
      </w:r>
      <w:r>
        <w:rPr>
          <w:rFonts w:hint="eastAsia" w:ascii="仿宋_GB2312" w:hAnsi="仿宋_GB2312" w:eastAsia="仿宋_GB2312" w:cs="仿宋_GB2312"/>
          <w:sz w:val="32"/>
          <w:szCs w:val="32"/>
        </w:rPr>
        <w:t>万元，完成各类培训人数1</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rPr>
        <w:t>人，完成全年目标任务的</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职业技术教育完成招生</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人，通过培训进一步提高库区移民的整体素质，为库区经济持续发展和移民增收提供内生动力。</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kern w:val="0"/>
          <w:sz w:val="32"/>
          <w:szCs w:val="32"/>
          <w:lang w:val="en-US" w:eastAsia="zh-CN" w:bidi="ar-SA"/>
        </w:rPr>
        <w:t>（四）脱贫攻坚工作：</w:t>
      </w: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中心</w:t>
      </w:r>
      <w:r>
        <w:rPr>
          <w:rFonts w:hint="eastAsia" w:ascii="仿宋_GB2312" w:hAnsi="仿宋_GB2312" w:eastAsia="仿宋_GB2312" w:cs="仿宋_GB2312"/>
          <w:kern w:val="0"/>
          <w:sz w:val="32"/>
          <w:szCs w:val="32"/>
        </w:rPr>
        <w:t>脱贫攻坚工作联系点为碗米坡镇磋比和拔茅两个村。一是按上级要求安排了</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名精干力量开展驻村帮扶，工作与单位脱钩，保证时间、精力、财力认真履职。二是落实会议精神，细化目标，针对精准扶贫户的致贫原因，制定对应的脱贫计划，</w:t>
      </w:r>
      <w:r>
        <w:rPr>
          <w:rFonts w:hint="eastAsia" w:ascii="仿宋_GB2312" w:hAnsi="仿宋_GB2312" w:eastAsia="仿宋_GB2312" w:cs="仿宋_GB2312"/>
          <w:sz w:val="32"/>
          <w:szCs w:val="32"/>
        </w:rPr>
        <w:t>对脱贫对象逐户确立帮扶措施，建立脱贫规划明白卡、台账，群众的政策知晓率提升，感恩意识不断增加。三是用尽一切政策，采取扶贫项目拉动、龙头企业带动、合作社捆绑发展、就近务工等扶贫模式，集中力量给予扶持，落实了止贫措施，群众收入实现平稳增长。四是实行大走访，做到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一月一清零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干部共计走访</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次，对于村民反映的人饮、居住环境等问题想尽一切办法挤资金帮助解决，截至目前，</w:t>
      </w:r>
      <w:r>
        <w:rPr>
          <w:rFonts w:hint="eastAsia" w:ascii="仿宋_GB2312" w:hAnsi="仿宋_GB2312" w:eastAsia="仿宋_GB2312" w:cs="仿宋_GB2312"/>
          <w:sz w:val="32"/>
          <w:szCs w:val="32"/>
          <w:lang w:eastAsia="zh-CN"/>
        </w:rPr>
        <w:t>已完成磋比村人饮，稻花鱼养殖投入资金共</w:t>
      </w:r>
      <w:r>
        <w:rPr>
          <w:rFonts w:hint="eastAsia" w:ascii="仿宋_GB2312" w:hAnsi="仿宋_GB2312" w:eastAsia="仿宋_GB2312" w:cs="仿宋_GB2312"/>
          <w:sz w:val="32"/>
          <w:szCs w:val="32"/>
          <w:lang w:val="en-US" w:eastAsia="zh-CN"/>
        </w:rPr>
        <w:t>138万元，收益群众2200人</w:t>
      </w:r>
      <w:r>
        <w:rPr>
          <w:rFonts w:hint="eastAsia" w:ascii="仿宋_GB2312" w:hAnsi="仿宋_GB2312" w:eastAsia="仿宋_GB2312" w:cs="仿宋_GB2312"/>
          <w:sz w:val="32"/>
          <w:szCs w:val="32"/>
          <w:lang w:eastAsia="zh-CN"/>
        </w:rPr>
        <w:t>，拔茅村油茶开发</w:t>
      </w:r>
      <w:r>
        <w:rPr>
          <w:rFonts w:hint="eastAsia" w:ascii="仿宋_GB2312" w:hAnsi="仿宋_GB2312" w:eastAsia="仿宋_GB2312" w:cs="仿宋_GB2312"/>
          <w:sz w:val="32"/>
          <w:szCs w:val="32"/>
          <w:lang w:val="en-US" w:eastAsia="zh-CN"/>
        </w:rPr>
        <w:t>1000余亩，投入资金255万元，河堤整修70万元，产业路修建80万元，收益群众3100人，</w:t>
      </w:r>
      <w:r>
        <w:rPr>
          <w:rFonts w:hint="eastAsia" w:ascii="仿宋_GB2312" w:hAnsi="仿宋_GB2312" w:eastAsia="仿宋_GB2312" w:cs="仿宋_GB2312"/>
          <w:sz w:val="32"/>
          <w:szCs w:val="32"/>
        </w:rPr>
        <w:t>群众满意度不断提升</w:t>
      </w:r>
      <w:r>
        <w:rPr>
          <w:rFonts w:hint="eastAsia" w:ascii="仿宋_GB2312" w:hAnsi="仿宋_GB2312" w:eastAsia="仿宋_GB2312" w:cs="仿宋_GB2312"/>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434343"/>
          <w:kern w:val="0"/>
          <w:sz w:val="32"/>
          <w:szCs w:val="32"/>
        </w:rPr>
        <w:t>四、部门财政性资金支出绩效评价概述</w:t>
      </w:r>
      <w:bookmarkEnd w:id="11"/>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color w:val="000000"/>
          <w:kern w:val="0"/>
          <w:sz w:val="32"/>
          <w:szCs w:val="32"/>
        </w:rPr>
      </w:pPr>
      <w:bookmarkStart w:id="12" w:name="_Toc9711"/>
      <w:r>
        <w:rPr>
          <w:rFonts w:hint="eastAsia" w:ascii="仿宋_GB2312" w:hAnsi="仿宋_GB2312" w:eastAsia="仿宋_GB2312" w:cs="仿宋_GB2312"/>
          <w:b/>
          <w:bCs/>
          <w:color w:val="434343"/>
          <w:kern w:val="0"/>
          <w:sz w:val="32"/>
          <w:szCs w:val="32"/>
        </w:rPr>
        <w:t>1</w:t>
      </w:r>
      <w:bookmarkEnd w:id="12"/>
      <w:r>
        <w:rPr>
          <w:rFonts w:hint="eastAsia" w:ascii="仿宋_GB2312" w:hAnsi="仿宋_GB2312" w:eastAsia="仿宋_GB2312" w:cs="仿宋_GB2312"/>
          <w:b/>
          <w:bCs/>
          <w:color w:val="000000"/>
          <w:kern w:val="0"/>
          <w:sz w:val="32"/>
          <w:szCs w:val="32"/>
        </w:rPr>
        <w:t>、绩效评价目的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27"/>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本次自评的目的是了解本部门201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color w:val="000000"/>
          <w:kern w:val="0"/>
          <w:sz w:val="32"/>
          <w:szCs w:val="32"/>
        </w:rPr>
      </w:pPr>
      <w:bookmarkStart w:id="13" w:name="_Toc16615"/>
      <w:r>
        <w:rPr>
          <w:rFonts w:hint="eastAsia" w:ascii="仿宋_GB2312" w:hAnsi="仿宋_GB2312" w:eastAsia="仿宋_GB2312" w:cs="仿宋_GB2312"/>
          <w:b/>
          <w:bCs/>
          <w:color w:val="434343"/>
          <w:kern w:val="0"/>
          <w:sz w:val="32"/>
          <w:szCs w:val="32"/>
        </w:rPr>
        <w:t>2</w:t>
      </w:r>
      <w:bookmarkEnd w:id="13"/>
      <w:r>
        <w:rPr>
          <w:rFonts w:hint="eastAsia" w:ascii="仿宋_GB2312" w:hAnsi="仿宋_GB2312" w:eastAsia="仿宋_GB2312" w:cs="仿宋_GB2312"/>
          <w:b/>
          <w:bCs/>
          <w:color w:val="000000"/>
          <w:kern w:val="0"/>
          <w:sz w:val="32"/>
          <w:szCs w:val="32"/>
        </w:rPr>
        <w:t>、绩效评价实施过程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根据《保靖县财政局关于开展201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年度财政性资金绩效评价</w:t>
      </w:r>
      <w:r>
        <w:rPr>
          <w:rFonts w:hint="eastAsia" w:ascii="仿宋_GB2312" w:hAnsi="仿宋_GB2312" w:eastAsia="仿宋_GB2312" w:cs="仿宋_GB2312"/>
          <w:color w:val="000000"/>
          <w:kern w:val="0"/>
          <w:sz w:val="32"/>
          <w:szCs w:val="32"/>
          <w:lang w:eastAsia="zh-CN"/>
        </w:rPr>
        <w:t>工作</w:t>
      </w:r>
      <w:r>
        <w:rPr>
          <w:rFonts w:hint="eastAsia" w:ascii="仿宋_GB2312" w:hAnsi="仿宋_GB2312" w:eastAsia="仿宋_GB2312" w:cs="仿宋_GB2312"/>
          <w:color w:val="000000"/>
          <w:kern w:val="0"/>
          <w:sz w:val="32"/>
          <w:szCs w:val="32"/>
        </w:rPr>
        <w:t>的通知》（保财绩〔20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号）文件要求，我局领导高度重视，加强领导，组织财务、政工及办公室人员按照通知的要求，认真开展了自评工作，并于</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日完成自评工作。绩效评价工作主要如下：</w:t>
      </w:r>
    </w:p>
    <w:p>
      <w:pPr>
        <w:pStyle w:val="12"/>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Chars="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核实数据。对201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年度部门财政性资金整体支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出数据的准确性、真实性进行核实，将201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年度和201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年度部门整体支出情况进行比较分析。</w:t>
      </w:r>
    </w:p>
    <w:p>
      <w:pPr>
        <w:pStyle w:val="12"/>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Chars="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查阅资料。查阅201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年度预算安排、预算追加、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资金管理、经费支出、资产管理等相关文件资料和财务凭证。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（三）归纳汇总。对收集的评价材料结合本单位情况进行综合分析、归纳汇总。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（四）根据评价材料结合各项评价指标进行分析评分。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（五）形成整体支出绩效评价自评报告。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color w:val="000000"/>
          <w:kern w:val="0"/>
          <w:sz w:val="32"/>
          <w:szCs w:val="32"/>
        </w:rPr>
      </w:pPr>
      <w:bookmarkStart w:id="14" w:name="_Toc16479"/>
      <w:r>
        <w:rPr>
          <w:rFonts w:hint="eastAsia" w:ascii="仿宋_GB2312" w:hAnsi="仿宋_GB2312" w:eastAsia="仿宋_GB2312" w:cs="仿宋_GB2312"/>
          <w:b/>
          <w:bCs/>
          <w:color w:val="434343"/>
          <w:kern w:val="0"/>
          <w:sz w:val="32"/>
          <w:szCs w:val="32"/>
        </w:rPr>
        <w:t>3</w:t>
      </w:r>
      <w:bookmarkEnd w:id="14"/>
      <w:r>
        <w:rPr>
          <w:rFonts w:hint="eastAsia" w:ascii="仿宋_GB2312" w:hAnsi="仿宋_GB2312" w:eastAsia="仿宋_GB2312" w:cs="仿宋_GB2312"/>
          <w:b/>
          <w:bCs/>
          <w:color w:val="000000"/>
          <w:kern w:val="0"/>
          <w:sz w:val="32"/>
          <w:szCs w:val="32"/>
        </w:rPr>
        <w:t>、绩效评价的局限性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评价是一项综合性工作，涉及财务管理、经济学、社会学、工程造价等多项领域，故仅仅依靠财务领域的人才在没有与其他相关领域的专家进行沟通的情况下，对部门整体支出进行独立评价可能结果并不完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   </w:t>
      </w:r>
      <w:bookmarkStart w:id="15" w:name="OLE_LINK39"/>
      <w:r>
        <w:rPr>
          <w:rFonts w:hint="eastAsia" w:ascii="仿宋_GB2312" w:hAnsi="仿宋_GB2312" w:eastAsia="仿宋_GB2312" w:cs="仿宋_GB2312"/>
          <w:color w:val="434343"/>
          <w:kern w:val="0"/>
          <w:sz w:val="32"/>
          <w:szCs w:val="32"/>
        </w:rPr>
        <w:t> </w:t>
      </w:r>
      <w:bookmarkEnd w:id="15"/>
      <w:bookmarkStart w:id="16" w:name="_Toc2633"/>
      <w:r>
        <w:rPr>
          <w:rFonts w:hint="eastAsia" w:ascii="仿宋_GB2312" w:hAnsi="仿宋_GB2312" w:eastAsia="仿宋_GB2312" w:cs="仿宋_GB2312"/>
          <w:b/>
          <w:color w:val="434343"/>
          <w:kern w:val="0"/>
          <w:sz w:val="32"/>
          <w:szCs w:val="32"/>
        </w:rPr>
        <w:t>五、本单位部门整体支出绩效评价分析</w:t>
      </w:r>
      <w:bookmarkEnd w:id="16"/>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b/>
          <w:color w:val="000000"/>
          <w:kern w:val="0"/>
          <w:sz w:val="32"/>
          <w:szCs w:val="32"/>
        </w:rPr>
      </w:pPr>
      <w:bookmarkStart w:id="17" w:name="_Toc26439"/>
      <w:r>
        <w:rPr>
          <w:rFonts w:hint="eastAsia" w:ascii="仿宋_GB2312" w:hAnsi="仿宋_GB2312" w:eastAsia="仿宋_GB2312" w:cs="仿宋_GB2312"/>
          <w:b/>
          <w:bCs/>
          <w:color w:val="434343"/>
          <w:kern w:val="0"/>
          <w:sz w:val="32"/>
          <w:szCs w:val="32"/>
        </w:rPr>
        <w:t>1</w:t>
      </w:r>
      <w:bookmarkEnd w:id="17"/>
      <w:r>
        <w:rPr>
          <w:rFonts w:hint="eastAsia" w:ascii="仿宋_GB2312" w:hAnsi="仿宋_GB2312" w:eastAsia="仿宋_GB2312" w:cs="仿宋_GB2312"/>
          <w:b/>
          <w:bCs/>
          <w:color w:val="000000"/>
          <w:kern w:val="0"/>
          <w:sz w:val="32"/>
          <w:szCs w:val="32"/>
        </w:rPr>
        <w:t>、投入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（1）目标设定（6分）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①绩效目标合理性（3分），本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所设立的整体绩效目标依据符合国家法律法规、国民经济和社会发展总体规划；符合部门“三定”方案确定的职责；符合部门制定的中长期实施规划，根据评价标准该项得分3分。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②绩效指标明确性（3分），本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依据整体绩效目标能细化分解到具体的工作任务，通过清晰、可衡量的指标值予以体现；部门年度任务数或计划数相对应，与本年度部门预算资金相匹配，根据评价标准该项得分3分。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（2）预算配置（7分）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①在职人员控制率（3分）：本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年年末实际在职人员为2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人，县编委核定的在职人数为27人，在职人员</w:t>
      </w:r>
      <w:r>
        <w:rPr>
          <w:rFonts w:hint="eastAsia" w:ascii="仿宋_GB2312" w:hAnsi="仿宋_GB2312" w:eastAsia="仿宋_GB2312" w:cs="仿宋_GB2312"/>
          <w:color w:val="000000"/>
          <w:kern w:val="0"/>
          <w:sz w:val="32"/>
          <w:szCs w:val="32"/>
          <w:lang w:eastAsia="zh-CN"/>
        </w:rPr>
        <w:t>控制</w:t>
      </w:r>
      <w:r>
        <w:rPr>
          <w:rFonts w:hint="eastAsia" w:ascii="仿宋_GB2312" w:hAnsi="仿宋_GB2312" w:eastAsia="仿宋_GB2312" w:cs="仿宋_GB2312"/>
          <w:color w:val="000000"/>
          <w:kern w:val="0"/>
          <w:sz w:val="32"/>
          <w:szCs w:val="32"/>
        </w:rPr>
        <w:t>率＝（在职人员数÷编制数）×100%＝</w:t>
      </w:r>
      <w:r>
        <w:rPr>
          <w:rFonts w:hint="eastAsia" w:ascii="仿宋_GB2312" w:hAnsi="仿宋_GB2312" w:eastAsia="仿宋_GB2312" w:cs="仿宋_GB2312"/>
          <w:color w:val="000000"/>
          <w:kern w:val="0"/>
          <w:sz w:val="32"/>
          <w:szCs w:val="32"/>
          <w:lang w:val="en-US" w:eastAsia="zh-CN"/>
        </w:rPr>
        <w:t>85.18</w:t>
      </w:r>
      <w:r>
        <w:rPr>
          <w:rFonts w:hint="eastAsia" w:ascii="仿宋_GB2312" w:hAnsi="仿宋_GB2312" w:eastAsia="仿宋_GB2312" w:cs="仿宋_GB2312"/>
          <w:color w:val="000000"/>
          <w:kern w:val="0"/>
          <w:sz w:val="32"/>
          <w:szCs w:val="32"/>
        </w:rPr>
        <w:t>%</w:t>
      </w:r>
      <w:bookmarkStart w:id="18" w:name="OLE_LINK31"/>
      <w:r>
        <w:rPr>
          <w:rFonts w:hint="eastAsia" w:ascii="仿宋_GB2312" w:hAnsi="仿宋_GB2312" w:eastAsia="仿宋_GB2312" w:cs="仿宋_GB2312"/>
          <w:color w:val="434343"/>
          <w:kern w:val="0"/>
          <w:sz w:val="32"/>
          <w:szCs w:val="32"/>
        </w:rPr>
        <w:t>&lt;100</w:t>
      </w:r>
      <w:bookmarkEnd w:id="18"/>
      <w:bookmarkStart w:id="19" w:name="OLE_LINK24"/>
      <w:r>
        <w:rPr>
          <w:rFonts w:hint="eastAsia" w:ascii="仿宋_GB2312" w:hAnsi="仿宋_GB2312" w:eastAsia="仿宋_GB2312" w:cs="仿宋_GB2312"/>
          <w:color w:val="434343"/>
          <w:kern w:val="0"/>
          <w:sz w:val="32"/>
          <w:szCs w:val="32"/>
        </w:rPr>
        <w:t>%</w:t>
      </w:r>
      <w:bookmarkEnd w:id="19"/>
      <w:r>
        <w:rPr>
          <w:rFonts w:hint="eastAsia" w:ascii="仿宋_GB2312" w:hAnsi="仿宋_GB2312" w:eastAsia="仿宋_GB2312" w:cs="仿宋_GB2312"/>
          <w:color w:val="000000"/>
          <w:kern w:val="0"/>
          <w:sz w:val="32"/>
          <w:szCs w:val="32"/>
        </w:rPr>
        <w:t>，部门对人员成本的控制程度符合规定要求，根据评价标准该项得分3分。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②“三公经费”变动率（4分）：本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年“三公”经费预算数为</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万元，201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年“三公”经费预算数为</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万元，“三公经费”变动率=[（本年度“三公经费”预算数-上年度“三公经费”预算数）/上年度“三公经费”</w:t>
      </w:r>
      <w:r>
        <w:rPr>
          <w:rFonts w:hint="eastAsia" w:ascii="仿宋_GB2312" w:hAnsi="仿宋_GB2312" w:eastAsia="仿宋_GB2312" w:cs="仿宋_GB2312"/>
          <w:color w:val="000000"/>
          <w:kern w:val="0"/>
          <w:sz w:val="32"/>
          <w:szCs w:val="32"/>
          <w:lang w:eastAsia="zh-CN"/>
        </w:rPr>
        <w:t>预算数</w:t>
      </w:r>
      <w:r>
        <w:rPr>
          <w:rFonts w:hint="eastAsia" w:ascii="仿宋_GB2312" w:hAnsi="仿宋_GB2312" w:eastAsia="仿宋_GB2312" w:cs="仿宋_GB2312"/>
          <w:color w:val="000000"/>
          <w:kern w:val="0"/>
          <w:sz w:val="32"/>
          <w:szCs w:val="32"/>
        </w:rPr>
        <w:t>]×100%=</w:t>
      </w:r>
      <w:r>
        <w:rPr>
          <w:rFonts w:hint="eastAsia" w:ascii="仿宋_GB2312" w:hAnsi="仿宋_GB2312" w:eastAsia="仿宋_GB2312" w:cs="仿宋_GB2312"/>
          <w:color w:val="434343"/>
          <w:kern w:val="0"/>
          <w:sz w:val="32"/>
          <w:szCs w:val="32"/>
          <w:lang w:val="en-US" w:eastAsia="zh-CN"/>
        </w:rPr>
        <w:t>0</w:t>
      </w:r>
      <w:r>
        <w:rPr>
          <w:rFonts w:hint="eastAsia" w:ascii="仿宋_GB2312" w:hAnsi="仿宋_GB2312" w:eastAsia="仿宋_GB2312" w:cs="仿宋_GB2312"/>
          <w:color w:val="000000"/>
          <w:kern w:val="0"/>
          <w:sz w:val="32"/>
          <w:szCs w:val="32"/>
        </w:rPr>
        <w:t>，因此，201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年度本单位“三公”经费预算符合相关规定，根据评价标准该项得满分4分。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b/>
          <w:color w:val="000000"/>
          <w:kern w:val="0"/>
          <w:sz w:val="32"/>
          <w:szCs w:val="32"/>
        </w:rPr>
      </w:pPr>
      <w:bookmarkStart w:id="20" w:name="_Toc9480"/>
      <w:r>
        <w:rPr>
          <w:rFonts w:hint="eastAsia" w:ascii="仿宋_GB2312" w:hAnsi="仿宋_GB2312" w:eastAsia="仿宋_GB2312" w:cs="仿宋_GB2312"/>
          <w:b/>
          <w:color w:val="434343"/>
          <w:kern w:val="0"/>
          <w:sz w:val="32"/>
          <w:szCs w:val="32"/>
        </w:rPr>
        <w:t>2、</w:t>
      </w:r>
      <w:r>
        <w:rPr>
          <w:rFonts w:hint="eastAsia" w:ascii="仿宋_GB2312" w:hAnsi="仿宋_GB2312" w:eastAsia="仿宋_GB2312" w:cs="仿宋_GB2312"/>
          <w:b/>
          <w:bCs/>
          <w:color w:val="434343"/>
          <w:kern w:val="0"/>
          <w:sz w:val="32"/>
          <w:szCs w:val="32"/>
        </w:rPr>
        <w:t>过程</w:t>
      </w:r>
      <w:bookmarkEnd w:id="20"/>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color w:val="000000" w:themeColor="text1"/>
          <w:kern w:val="0"/>
          <w:sz w:val="32"/>
          <w:szCs w:val="32"/>
        </w:rPr>
        <w:t>  </w:t>
      </w:r>
      <w:r>
        <w:rPr>
          <w:rFonts w:hint="eastAsia" w:ascii="仿宋_GB2312" w:hAnsi="仿宋_GB2312" w:eastAsia="仿宋_GB2312" w:cs="仿宋_GB2312"/>
          <w:b/>
          <w:bCs/>
          <w:color w:val="000000" w:themeColor="text1"/>
          <w:kern w:val="0"/>
          <w:sz w:val="32"/>
          <w:szCs w:val="32"/>
        </w:rPr>
        <w:t> </w:t>
      </w:r>
      <w:bookmarkStart w:id="21" w:name="_Toc7878"/>
      <w:r>
        <w:rPr>
          <w:rFonts w:hint="eastAsia" w:ascii="仿宋_GB2312" w:hAnsi="仿宋_GB2312" w:eastAsia="仿宋_GB2312" w:cs="仿宋_GB2312"/>
          <w:b/>
          <w:bCs/>
          <w:color w:val="000000" w:themeColor="text1"/>
          <w:kern w:val="0"/>
          <w:sz w:val="32"/>
          <w:szCs w:val="32"/>
        </w:rPr>
        <w:t>（</w:t>
      </w:r>
      <w:bookmarkEnd w:id="21"/>
      <w:r>
        <w:rPr>
          <w:rFonts w:hint="eastAsia" w:ascii="仿宋_GB2312" w:hAnsi="仿宋_GB2312" w:eastAsia="仿宋_GB2312" w:cs="仿宋_GB2312"/>
          <w:b/>
          <w:bCs/>
          <w:color w:val="000000" w:themeColor="text1"/>
          <w:kern w:val="0"/>
          <w:sz w:val="32"/>
          <w:szCs w:val="32"/>
        </w:rPr>
        <w:t>1）预算执行（20分）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①预算</w:t>
      </w:r>
      <w:r>
        <w:rPr>
          <w:rFonts w:hint="eastAsia" w:ascii="仿宋_GB2312" w:hAnsi="仿宋_GB2312" w:eastAsia="仿宋_GB2312" w:cs="仿宋_GB2312"/>
          <w:color w:val="000000" w:themeColor="text1"/>
          <w:spacing w:val="-6"/>
          <w:kern w:val="0"/>
          <w:sz w:val="32"/>
          <w:szCs w:val="32"/>
        </w:rPr>
        <w:t>完成率（5分）：本</w:t>
      </w:r>
      <w:r>
        <w:rPr>
          <w:rFonts w:hint="eastAsia" w:ascii="仿宋_GB2312" w:hAnsi="仿宋_GB2312" w:eastAsia="仿宋_GB2312" w:cs="仿宋_GB2312"/>
          <w:color w:val="000000" w:themeColor="text1"/>
          <w:spacing w:val="-6"/>
          <w:kern w:val="0"/>
          <w:sz w:val="32"/>
          <w:szCs w:val="32"/>
          <w:lang w:eastAsia="zh-CN"/>
        </w:rPr>
        <w:t>中心</w:t>
      </w:r>
      <w:r>
        <w:rPr>
          <w:rFonts w:hint="eastAsia" w:ascii="仿宋_GB2312" w:hAnsi="仿宋_GB2312" w:eastAsia="仿宋_GB2312" w:cs="仿宋_GB2312"/>
          <w:color w:val="000000" w:themeColor="text1"/>
          <w:spacing w:val="-6"/>
          <w:kern w:val="0"/>
          <w:sz w:val="32"/>
          <w:szCs w:val="32"/>
        </w:rPr>
        <w:t>年初预算</w:t>
      </w:r>
      <w:r>
        <w:rPr>
          <w:rFonts w:hint="eastAsia" w:ascii="仿宋_GB2312" w:hAnsi="仿宋_GB2312" w:eastAsia="仿宋_GB2312" w:cs="仿宋_GB2312"/>
          <w:color w:val="000000" w:themeColor="text1"/>
          <w:spacing w:val="-6"/>
          <w:kern w:val="0"/>
          <w:sz w:val="32"/>
          <w:szCs w:val="32"/>
          <w:lang w:val="en-US" w:eastAsia="zh-CN"/>
        </w:rPr>
        <w:t>324.42万</w:t>
      </w:r>
      <w:r>
        <w:rPr>
          <w:rFonts w:hint="eastAsia" w:ascii="仿宋_GB2312" w:hAnsi="仿宋_GB2312" w:eastAsia="仿宋_GB2312" w:cs="仿宋_GB2312"/>
          <w:color w:val="000000" w:themeColor="text1"/>
          <w:spacing w:val="-6"/>
          <w:kern w:val="0"/>
          <w:sz w:val="32"/>
          <w:szCs w:val="32"/>
        </w:rPr>
        <w:t>元，</w:t>
      </w:r>
      <w:r>
        <w:rPr>
          <w:rFonts w:hint="eastAsia" w:ascii="仿宋_GB2312" w:hAnsi="仿宋_GB2312" w:eastAsia="仿宋_GB2312" w:cs="仿宋_GB2312"/>
          <w:color w:val="000000" w:themeColor="text1"/>
          <w:sz w:val="32"/>
          <w:szCs w:val="32"/>
        </w:rPr>
        <w:t>本年追加预算12万元</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pacing w:val="-6"/>
          <w:kern w:val="0"/>
          <w:sz w:val="32"/>
          <w:szCs w:val="32"/>
        </w:rPr>
        <w:t>年末结转和结余</w:t>
      </w:r>
      <w:r>
        <w:rPr>
          <w:rFonts w:hint="eastAsia" w:ascii="仿宋_GB2312" w:hAnsi="仿宋_GB2312" w:eastAsia="仿宋_GB2312" w:cs="仿宋_GB2312"/>
          <w:color w:val="000000" w:themeColor="text1"/>
          <w:spacing w:val="-6"/>
          <w:kern w:val="0"/>
          <w:sz w:val="32"/>
          <w:szCs w:val="32"/>
          <w:lang w:val="en-US" w:eastAsia="zh-CN"/>
        </w:rPr>
        <w:t>0</w:t>
      </w:r>
      <w:r>
        <w:rPr>
          <w:rFonts w:hint="eastAsia" w:ascii="仿宋_GB2312" w:hAnsi="仿宋_GB2312" w:eastAsia="仿宋_GB2312" w:cs="仿宋_GB2312"/>
          <w:color w:val="000000" w:themeColor="text1"/>
          <w:spacing w:val="-6"/>
          <w:kern w:val="0"/>
          <w:sz w:val="32"/>
          <w:szCs w:val="32"/>
        </w:rPr>
        <w:t>万元；本单位预算完成率＝（上年结转+年初预算+本年追加预算－年末结余）÷（上年结转+年初预算+本年追加预算）×100%＝</w:t>
      </w:r>
      <w:r>
        <w:rPr>
          <w:rFonts w:hint="eastAsia" w:ascii="仿宋_GB2312" w:hAnsi="仿宋_GB2312" w:eastAsia="仿宋_GB2312" w:cs="仿宋_GB2312"/>
          <w:color w:val="000000" w:themeColor="text1"/>
          <w:spacing w:val="-6"/>
          <w:kern w:val="0"/>
          <w:sz w:val="32"/>
          <w:szCs w:val="32"/>
          <w:lang w:val="en-US" w:eastAsia="zh-CN"/>
        </w:rPr>
        <w:t>100</w:t>
      </w:r>
      <w:r>
        <w:rPr>
          <w:rFonts w:hint="eastAsia" w:ascii="仿宋_GB2312" w:hAnsi="仿宋_GB2312" w:eastAsia="仿宋_GB2312" w:cs="仿宋_GB2312"/>
          <w:color w:val="000000" w:themeColor="text1"/>
          <w:spacing w:val="-6"/>
          <w:kern w:val="0"/>
          <w:sz w:val="32"/>
          <w:szCs w:val="32"/>
        </w:rPr>
        <w:t>%，根据评分标准，本</w:t>
      </w:r>
      <w:r>
        <w:rPr>
          <w:rFonts w:hint="eastAsia" w:ascii="仿宋_GB2312" w:hAnsi="仿宋_GB2312" w:eastAsia="仿宋_GB2312" w:cs="仿宋_GB2312"/>
          <w:color w:val="000000" w:themeColor="text1"/>
          <w:spacing w:val="-6"/>
          <w:kern w:val="0"/>
          <w:sz w:val="32"/>
          <w:szCs w:val="32"/>
          <w:lang w:eastAsia="zh-CN"/>
        </w:rPr>
        <w:t>中心</w:t>
      </w:r>
      <w:r>
        <w:rPr>
          <w:rFonts w:hint="eastAsia" w:ascii="仿宋_GB2312" w:hAnsi="仿宋_GB2312" w:eastAsia="仿宋_GB2312" w:cs="仿宋_GB2312"/>
          <w:color w:val="000000" w:themeColor="text1"/>
          <w:spacing w:val="-6"/>
          <w:kern w:val="0"/>
          <w:sz w:val="32"/>
          <w:szCs w:val="32"/>
        </w:rPr>
        <w:t>该项指标得分</w:t>
      </w:r>
      <w:r>
        <w:rPr>
          <w:rFonts w:hint="eastAsia" w:ascii="仿宋_GB2312" w:hAnsi="仿宋_GB2312" w:eastAsia="仿宋_GB2312" w:cs="仿宋_GB2312"/>
          <w:color w:val="000000" w:themeColor="text1"/>
          <w:spacing w:val="-6"/>
          <w:kern w:val="0"/>
          <w:sz w:val="32"/>
          <w:szCs w:val="32"/>
          <w:lang w:val="en-US" w:eastAsia="zh-CN"/>
        </w:rPr>
        <w:t>5</w:t>
      </w:r>
      <w:r>
        <w:rPr>
          <w:rFonts w:hint="eastAsia" w:ascii="仿宋_GB2312" w:hAnsi="仿宋_GB2312" w:eastAsia="仿宋_GB2312" w:cs="仿宋_GB2312"/>
          <w:color w:val="000000" w:themeColor="text1"/>
          <w:spacing w:val="-6"/>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②预算控制率（5分）：本</w:t>
      </w:r>
      <w:r>
        <w:rPr>
          <w:rFonts w:hint="eastAsia" w:ascii="仿宋_GB2312" w:hAnsi="仿宋_GB2312" w:eastAsia="仿宋_GB2312" w:cs="仿宋_GB2312"/>
          <w:color w:val="000000" w:themeColor="text1"/>
          <w:kern w:val="0"/>
          <w:sz w:val="32"/>
          <w:szCs w:val="32"/>
          <w:lang w:eastAsia="zh-CN"/>
        </w:rPr>
        <w:t>中心本年</w:t>
      </w:r>
      <w:r>
        <w:rPr>
          <w:rFonts w:hint="eastAsia" w:ascii="仿宋_GB2312" w:hAnsi="仿宋_GB2312" w:eastAsia="仿宋_GB2312" w:cs="仿宋_GB2312"/>
          <w:color w:val="000000" w:themeColor="text1"/>
          <w:kern w:val="0"/>
          <w:sz w:val="32"/>
          <w:szCs w:val="32"/>
        </w:rPr>
        <w:t>预算追加数为12万元，年初预算为</w:t>
      </w:r>
      <w:r>
        <w:rPr>
          <w:rFonts w:hint="eastAsia" w:ascii="仿宋_GB2312" w:hAnsi="仿宋_GB2312" w:eastAsia="仿宋_GB2312" w:cs="仿宋_GB2312"/>
          <w:color w:val="000000" w:themeColor="text1"/>
          <w:kern w:val="0"/>
          <w:sz w:val="32"/>
          <w:szCs w:val="32"/>
          <w:lang w:val="en-US" w:eastAsia="zh-CN"/>
        </w:rPr>
        <w:t>324.42</w:t>
      </w:r>
      <w:r>
        <w:rPr>
          <w:rFonts w:hint="eastAsia" w:ascii="仿宋_GB2312" w:hAnsi="仿宋_GB2312" w:eastAsia="仿宋_GB2312" w:cs="仿宋_GB2312"/>
          <w:color w:val="000000" w:themeColor="text1"/>
          <w:kern w:val="0"/>
          <w:sz w:val="32"/>
          <w:szCs w:val="32"/>
        </w:rPr>
        <w:t>万元，预算控制率＝（本年追加预算÷年初预算）×100%＝</w:t>
      </w:r>
      <w:r>
        <w:rPr>
          <w:rFonts w:hint="eastAsia" w:ascii="仿宋_GB2312" w:hAnsi="仿宋_GB2312" w:eastAsia="仿宋_GB2312" w:cs="仿宋_GB2312"/>
          <w:color w:val="000000" w:themeColor="text1"/>
          <w:kern w:val="0"/>
          <w:sz w:val="32"/>
          <w:szCs w:val="32"/>
          <w:lang w:val="en-US" w:eastAsia="zh-CN"/>
        </w:rPr>
        <w:t>3.7</w:t>
      </w:r>
      <w:r>
        <w:rPr>
          <w:rFonts w:hint="eastAsia" w:ascii="仿宋_GB2312" w:hAnsi="仿宋_GB2312" w:eastAsia="仿宋_GB2312" w:cs="仿宋_GB2312"/>
          <w:color w:val="000000" w:themeColor="text1"/>
          <w:kern w:val="0"/>
          <w:sz w:val="32"/>
          <w:szCs w:val="32"/>
        </w:rPr>
        <w:t>%，大于0%小于10%，根据评分标准，本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themeColor="text1"/>
          <w:kern w:val="0"/>
          <w:sz w:val="32"/>
          <w:szCs w:val="32"/>
        </w:rPr>
        <w:t>该项指标得分5分。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③新建楼堂馆所面积控制率（5分）：201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无完工的新建楼堂馆所，根据评分标准，本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该项指标得满分5分。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pacing w:val="-2"/>
          <w:kern w:val="0"/>
          <w:sz w:val="32"/>
          <w:szCs w:val="32"/>
        </w:rPr>
        <w:t>④新建楼堂馆所投资概算控制率（5分）：201</w:t>
      </w:r>
      <w:r>
        <w:rPr>
          <w:rFonts w:hint="eastAsia" w:ascii="仿宋_GB2312" w:hAnsi="仿宋_GB2312" w:eastAsia="仿宋_GB2312" w:cs="仿宋_GB2312"/>
          <w:color w:val="000000"/>
          <w:spacing w:val="-2"/>
          <w:kern w:val="0"/>
          <w:sz w:val="32"/>
          <w:szCs w:val="32"/>
          <w:lang w:val="en-US" w:eastAsia="zh-CN"/>
        </w:rPr>
        <w:t>9</w:t>
      </w:r>
      <w:r>
        <w:rPr>
          <w:rFonts w:hint="eastAsia" w:ascii="仿宋_GB2312" w:hAnsi="仿宋_GB2312" w:eastAsia="仿宋_GB2312" w:cs="仿宋_GB2312"/>
          <w:color w:val="000000"/>
          <w:spacing w:val="-2"/>
          <w:kern w:val="0"/>
          <w:sz w:val="32"/>
          <w:szCs w:val="32"/>
        </w:rPr>
        <w:t>年本</w:t>
      </w:r>
      <w:r>
        <w:rPr>
          <w:rFonts w:hint="eastAsia" w:ascii="仿宋_GB2312" w:hAnsi="仿宋_GB2312" w:eastAsia="仿宋_GB2312" w:cs="仿宋_GB2312"/>
          <w:color w:val="000000"/>
          <w:spacing w:val="-2"/>
          <w:kern w:val="0"/>
          <w:sz w:val="32"/>
          <w:szCs w:val="32"/>
          <w:lang w:eastAsia="zh-CN"/>
        </w:rPr>
        <w:t>中心</w:t>
      </w:r>
      <w:r>
        <w:rPr>
          <w:rFonts w:hint="eastAsia" w:ascii="仿宋_GB2312" w:hAnsi="仿宋_GB2312" w:eastAsia="仿宋_GB2312" w:cs="仿宋_GB2312"/>
          <w:color w:val="000000"/>
          <w:spacing w:val="-2"/>
          <w:kern w:val="0"/>
          <w:sz w:val="32"/>
          <w:szCs w:val="32"/>
        </w:rPr>
        <w:t>无完工的新建楼堂馆所，根据评分标准，本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spacing w:val="-2"/>
          <w:kern w:val="0"/>
          <w:sz w:val="32"/>
          <w:szCs w:val="32"/>
        </w:rPr>
        <w:t>该项指标得满分5分。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（2）预算管理（41分）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①公用经费控制率（8分）：201</w:t>
      </w:r>
      <w:r>
        <w:rPr>
          <w:rFonts w:hint="eastAsia" w:ascii="仿宋_GB2312" w:hAnsi="仿宋_GB2312" w:eastAsia="仿宋_GB2312" w:cs="仿宋_GB2312"/>
          <w:color w:val="000000" w:themeColor="text1"/>
          <w:kern w:val="0"/>
          <w:sz w:val="32"/>
          <w:szCs w:val="32"/>
          <w:lang w:val="en-US" w:eastAsia="zh-CN"/>
        </w:rPr>
        <w:t>9</w:t>
      </w:r>
      <w:r>
        <w:rPr>
          <w:rFonts w:hint="eastAsia" w:ascii="仿宋_GB2312" w:hAnsi="仿宋_GB2312" w:eastAsia="仿宋_GB2312" w:cs="仿宋_GB2312"/>
          <w:color w:val="000000" w:themeColor="text1"/>
          <w:kern w:val="0"/>
          <w:sz w:val="32"/>
          <w:szCs w:val="32"/>
        </w:rPr>
        <w:t>年度本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themeColor="text1"/>
          <w:kern w:val="0"/>
          <w:sz w:val="32"/>
          <w:szCs w:val="32"/>
        </w:rPr>
        <w:t>实际公用经费支出为</w:t>
      </w:r>
      <w:r>
        <w:rPr>
          <w:rFonts w:hint="eastAsia" w:ascii="仿宋_GB2312" w:hAnsi="仿宋_GB2312" w:eastAsia="仿宋_GB2312" w:cs="仿宋_GB2312"/>
          <w:color w:val="000000" w:themeColor="text1"/>
          <w:kern w:val="0"/>
          <w:sz w:val="32"/>
          <w:szCs w:val="32"/>
          <w:lang w:val="en-US" w:eastAsia="zh-CN"/>
        </w:rPr>
        <w:t>47.09</w:t>
      </w:r>
      <w:r>
        <w:rPr>
          <w:rFonts w:hint="eastAsia" w:ascii="仿宋_GB2312" w:hAnsi="仿宋_GB2312" w:eastAsia="仿宋_GB2312" w:cs="仿宋_GB2312"/>
          <w:color w:val="000000" w:themeColor="text1"/>
          <w:kern w:val="0"/>
          <w:sz w:val="32"/>
          <w:szCs w:val="32"/>
        </w:rPr>
        <w:t>万元，预算安排</w:t>
      </w:r>
      <w:r>
        <w:rPr>
          <w:rFonts w:hint="eastAsia" w:ascii="仿宋_GB2312" w:hAnsi="仿宋_GB2312" w:eastAsia="仿宋_GB2312" w:cs="仿宋_GB2312"/>
          <w:color w:val="000000" w:themeColor="text1"/>
          <w:kern w:val="0"/>
          <w:sz w:val="32"/>
          <w:szCs w:val="32"/>
          <w:lang w:eastAsia="zh-CN"/>
        </w:rPr>
        <w:t>及追加</w:t>
      </w:r>
      <w:r>
        <w:rPr>
          <w:rFonts w:hint="eastAsia" w:ascii="仿宋_GB2312" w:hAnsi="仿宋_GB2312" w:eastAsia="仿宋_GB2312" w:cs="仿宋_GB2312"/>
          <w:color w:val="000000" w:themeColor="text1"/>
          <w:kern w:val="0"/>
          <w:sz w:val="32"/>
          <w:szCs w:val="32"/>
        </w:rPr>
        <w:t>公用经费为</w:t>
      </w:r>
      <w:r>
        <w:rPr>
          <w:rFonts w:hint="eastAsia" w:ascii="仿宋_GB2312" w:hAnsi="仿宋_GB2312" w:eastAsia="仿宋_GB2312" w:cs="仿宋_GB2312"/>
          <w:color w:val="000000" w:themeColor="text1"/>
          <w:kern w:val="0"/>
          <w:sz w:val="32"/>
          <w:szCs w:val="32"/>
          <w:lang w:val="en-US" w:eastAsia="zh-CN"/>
        </w:rPr>
        <w:t>43</w:t>
      </w:r>
      <w:r>
        <w:rPr>
          <w:rFonts w:hint="eastAsia" w:ascii="仿宋_GB2312" w:hAnsi="仿宋_GB2312" w:eastAsia="仿宋_GB2312" w:cs="仿宋_GB2312"/>
          <w:color w:val="000000" w:themeColor="text1"/>
          <w:kern w:val="0"/>
          <w:sz w:val="32"/>
          <w:szCs w:val="32"/>
        </w:rPr>
        <w:t>万元。本单位公用经费控制率＝（实际支出公用经费总额÷预算安排公用经费总额）×100%＝</w:t>
      </w:r>
      <w:r>
        <w:rPr>
          <w:rFonts w:hint="eastAsia" w:ascii="仿宋_GB2312" w:hAnsi="仿宋_GB2312" w:eastAsia="仿宋_GB2312" w:cs="仿宋_GB2312"/>
          <w:color w:val="000000" w:themeColor="text1"/>
          <w:kern w:val="0"/>
          <w:sz w:val="32"/>
          <w:szCs w:val="32"/>
          <w:lang w:val="en-US" w:eastAsia="zh-CN"/>
        </w:rPr>
        <w:t>109.51</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spacing w:val="-5"/>
          <w:kern w:val="0"/>
          <w:sz w:val="32"/>
          <w:szCs w:val="32"/>
        </w:rPr>
        <w:t>&gt;1</w:t>
      </w:r>
      <w:r>
        <w:rPr>
          <w:rFonts w:hint="eastAsia" w:ascii="仿宋_GB2312" w:hAnsi="仿宋_GB2312" w:eastAsia="仿宋_GB2312" w:cs="仿宋_GB2312"/>
          <w:color w:val="000000" w:themeColor="text1"/>
          <w:spacing w:val="-5"/>
          <w:kern w:val="0"/>
          <w:sz w:val="32"/>
          <w:szCs w:val="32"/>
          <w:lang w:val="en-US" w:eastAsia="zh-CN"/>
        </w:rPr>
        <w:t>00%</w:t>
      </w:r>
      <w:r>
        <w:rPr>
          <w:rFonts w:hint="eastAsia" w:ascii="仿宋_GB2312" w:hAnsi="仿宋_GB2312" w:eastAsia="仿宋_GB2312" w:cs="仿宋_GB2312"/>
          <w:color w:val="000000" w:themeColor="text1"/>
          <w:kern w:val="0"/>
          <w:sz w:val="32"/>
          <w:szCs w:val="32"/>
        </w:rPr>
        <w:t>，根据评分标准，本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themeColor="text1"/>
          <w:kern w:val="0"/>
          <w:sz w:val="32"/>
          <w:szCs w:val="32"/>
        </w:rPr>
        <w:t>该项指标得分</w:t>
      </w:r>
      <w:r>
        <w:rPr>
          <w:rFonts w:hint="eastAsia" w:ascii="仿宋_GB2312" w:hAnsi="仿宋_GB2312" w:eastAsia="仿宋_GB2312" w:cs="仿宋_GB2312"/>
          <w:color w:val="000000" w:themeColor="text1"/>
          <w:kern w:val="0"/>
          <w:sz w:val="32"/>
          <w:szCs w:val="32"/>
          <w:lang w:val="en-US" w:eastAsia="zh-CN"/>
        </w:rPr>
        <w:t>0</w:t>
      </w:r>
      <w:r>
        <w:rPr>
          <w:rFonts w:hint="eastAsia" w:ascii="仿宋_GB2312" w:hAnsi="仿宋_GB2312" w:eastAsia="仿宋_GB2312" w:cs="仿宋_GB2312"/>
          <w:color w:val="000000" w:themeColor="text1"/>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pacing w:val="-5"/>
          <w:kern w:val="0"/>
          <w:sz w:val="32"/>
          <w:szCs w:val="32"/>
        </w:rPr>
        <w:t>②“三公经费”控制率（8分）：201</w:t>
      </w:r>
      <w:r>
        <w:rPr>
          <w:rFonts w:hint="eastAsia" w:ascii="仿宋_GB2312" w:hAnsi="仿宋_GB2312" w:eastAsia="仿宋_GB2312" w:cs="仿宋_GB2312"/>
          <w:color w:val="000000"/>
          <w:spacing w:val="-5"/>
          <w:kern w:val="0"/>
          <w:sz w:val="32"/>
          <w:szCs w:val="32"/>
          <w:lang w:val="en-US" w:eastAsia="zh-CN"/>
        </w:rPr>
        <w:t>9</w:t>
      </w:r>
      <w:r>
        <w:rPr>
          <w:rFonts w:hint="eastAsia" w:ascii="仿宋_GB2312" w:hAnsi="仿宋_GB2312" w:eastAsia="仿宋_GB2312" w:cs="仿宋_GB2312"/>
          <w:color w:val="000000"/>
          <w:spacing w:val="-5"/>
          <w:kern w:val="0"/>
          <w:sz w:val="32"/>
          <w:szCs w:val="32"/>
        </w:rPr>
        <w:t>年度本单位“三公经费”实际支出数为</w:t>
      </w:r>
      <w:r>
        <w:rPr>
          <w:rFonts w:hint="eastAsia" w:ascii="仿宋_GB2312" w:hAnsi="仿宋_GB2312" w:eastAsia="仿宋_GB2312" w:cs="仿宋_GB2312"/>
          <w:color w:val="000000"/>
          <w:spacing w:val="-5"/>
          <w:kern w:val="0"/>
          <w:sz w:val="32"/>
          <w:szCs w:val="32"/>
          <w:lang w:val="en-US" w:eastAsia="zh-CN"/>
        </w:rPr>
        <w:t>0.74</w:t>
      </w:r>
      <w:r>
        <w:rPr>
          <w:rFonts w:hint="eastAsia" w:ascii="仿宋_GB2312" w:hAnsi="仿宋_GB2312" w:eastAsia="仿宋_GB2312" w:cs="仿宋_GB2312"/>
          <w:color w:val="000000"/>
          <w:spacing w:val="-5"/>
          <w:kern w:val="0"/>
          <w:sz w:val="32"/>
          <w:szCs w:val="32"/>
        </w:rPr>
        <w:t>万元，“三公经费”年初预算数为</w:t>
      </w:r>
      <w:r>
        <w:rPr>
          <w:rFonts w:hint="eastAsia" w:ascii="仿宋_GB2312" w:hAnsi="仿宋_GB2312" w:eastAsia="仿宋_GB2312" w:cs="仿宋_GB2312"/>
          <w:color w:val="000000"/>
          <w:spacing w:val="-5"/>
          <w:kern w:val="0"/>
          <w:sz w:val="32"/>
          <w:szCs w:val="32"/>
          <w:lang w:val="en-US" w:eastAsia="zh-CN"/>
        </w:rPr>
        <w:t>2</w:t>
      </w:r>
      <w:r>
        <w:rPr>
          <w:rFonts w:hint="eastAsia" w:ascii="仿宋_GB2312" w:hAnsi="仿宋_GB2312" w:eastAsia="仿宋_GB2312" w:cs="仿宋_GB2312"/>
          <w:color w:val="000000"/>
          <w:spacing w:val="-5"/>
          <w:kern w:val="0"/>
          <w:sz w:val="32"/>
          <w:szCs w:val="32"/>
        </w:rPr>
        <w:t>万元</w:t>
      </w:r>
      <w:r>
        <w:rPr>
          <w:rFonts w:hint="eastAsia" w:ascii="仿宋_GB2312" w:hAnsi="仿宋_GB2312" w:eastAsia="仿宋_GB2312" w:cs="仿宋_GB2312"/>
          <w:color w:val="000000"/>
          <w:spacing w:val="-5"/>
          <w:kern w:val="0"/>
          <w:sz w:val="32"/>
          <w:szCs w:val="32"/>
          <w:lang w:eastAsia="zh-CN"/>
        </w:rPr>
        <w:t>，</w:t>
      </w:r>
      <w:r>
        <w:rPr>
          <w:rFonts w:hint="eastAsia" w:ascii="仿宋_GB2312" w:hAnsi="仿宋_GB2312" w:eastAsia="仿宋_GB2312" w:cs="仿宋_GB2312"/>
          <w:color w:val="000000"/>
          <w:spacing w:val="-5"/>
          <w:kern w:val="0"/>
          <w:sz w:val="32"/>
          <w:szCs w:val="32"/>
        </w:rPr>
        <w:t>三公经费”控制率＝（“三公经费”实际支出数÷“三公经费”预算安排数）×100%＝</w:t>
      </w:r>
      <w:r>
        <w:rPr>
          <w:rFonts w:hint="eastAsia" w:ascii="仿宋_GB2312" w:hAnsi="仿宋_GB2312" w:eastAsia="仿宋_GB2312" w:cs="仿宋_GB2312"/>
          <w:color w:val="000000"/>
          <w:spacing w:val="-5"/>
          <w:kern w:val="0"/>
          <w:sz w:val="32"/>
          <w:szCs w:val="32"/>
          <w:lang w:val="en-US" w:eastAsia="zh-CN"/>
        </w:rPr>
        <w:t>37</w:t>
      </w:r>
      <w:r>
        <w:rPr>
          <w:rFonts w:hint="eastAsia" w:ascii="仿宋_GB2312" w:hAnsi="仿宋_GB2312" w:eastAsia="仿宋_GB2312" w:cs="仿宋_GB2312"/>
          <w:color w:val="000000"/>
          <w:spacing w:val="-5"/>
          <w:kern w:val="0"/>
          <w:sz w:val="32"/>
          <w:szCs w:val="32"/>
        </w:rPr>
        <w:t>%&lt;100%，根据评分标准，本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spacing w:val="-5"/>
          <w:kern w:val="0"/>
          <w:sz w:val="32"/>
          <w:szCs w:val="32"/>
        </w:rPr>
        <w:t>该项指标得分8分。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③政府采购执行率（6分）：201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没有政府采购预算。根据评分标准，本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该项指标得满分6分。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④管理制度健全性（8分）：本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建立了各项财务管理制度，相关管理制度合法、合规、完整，本单位严格按照相关管理制度执行。根据评分标准，本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该项指标得8分。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⑤资金使用合规性（6分）：本</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支出符合国家财经法规和财务管理制度规定以及有关专项资金管理办法的规定，资金的拨付有完整的审批过程和手续，支出一定程度上符合部门预算批复的用途，资金使用无截留、挤占、挪用、虚列支出等情况，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该项指标得分</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⑥预决算信息公开性（5分）：本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年度预决算财政已按规定内容和时限进行网上公开，本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基础数据信息和会计信息资料真实、完整，基础数据信息和汇集信息资料准确。根据评分标准，本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该项指标得5分。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hint="eastAsia" w:ascii="仿宋_GB2312" w:hAnsi="仿宋_GB2312" w:eastAsia="仿宋_GB2312" w:cs="仿宋_GB2312"/>
          <w:color w:val="000000"/>
          <w:kern w:val="0"/>
          <w:sz w:val="32"/>
          <w:szCs w:val="32"/>
        </w:rPr>
      </w:pPr>
      <w:bookmarkStart w:id="22" w:name="_Toc21186"/>
      <w:r>
        <w:rPr>
          <w:rFonts w:hint="eastAsia" w:ascii="仿宋_GB2312" w:hAnsi="仿宋_GB2312" w:eastAsia="仿宋_GB2312" w:cs="仿宋_GB2312"/>
          <w:b/>
          <w:bCs/>
          <w:color w:val="434343"/>
          <w:kern w:val="0"/>
          <w:sz w:val="32"/>
          <w:szCs w:val="32"/>
        </w:rPr>
        <w:t>3</w:t>
      </w:r>
      <w:bookmarkEnd w:id="22"/>
      <w:r>
        <w:rPr>
          <w:rFonts w:hint="eastAsia" w:ascii="仿宋_GB2312" w:hAnsi="仿宋_GB2312" w:eastAsia="仿宋_GB2312" w:cs="仿宋_GB2312"/>
          <w:b/>
          <w:bCs/>
          <w:color w:val="000000"/>
          <w:kern w:val="0"/>
          <w:sz w:val="32"/>
          <w:szCs w:val="32"/>
        </w:rPr>
        <w:t>、产出及效率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bookmarkStart w:id="23" w:name="_Toc14385"/>
      <w:r>
        <w:rPr>
          <w:rFonts w:hint="eastAsia" w:ascii="仿宋_GB2312" w:hAnsi="仿宋_GB2312" w:eastAsia="仿宋_GB2312" w:cs="仿宋_GB2312"/>
          <w:b/>
          <w:color w:val="434343"/>
          <w:kern w:val="0"/>
          <w:sz w:val="32"/>
          <w:szCs w:val="32"/>
        </w:rPr>
        <w:t>（</w:t>
      </w:r>
      <w:bookmarkEnd w:id="23"/>
      <w:r>
        <w:rPr>
          <w:rFonts w:hint="eastAsia" w:ascii="仿宋_GB2312" w:hAnsi="仿宋_GB2312" w:eastAsia="仿宋_GB2312" w:cs="仿宋_GB2312"/>
          <w:b/>
          <w:color w:val="000000"/>
          <w:kern w:val="0"/>
          <w:sz w:val="32"/>
          <w:szCs w:val="32"/>
        </w:rPr>
        <w:t>1）职责履行（8分）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themeColor="text1"/>
          <w:kern w:val="0"/>
          <w:sz w:val="32"/>
          <w:szCs w:val="32"/>
        </w:rPr>
        <w:t xml:space="preserve"> 重点工作实际完成率（8分）：本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themeColor="text1"/>
          <w:kern w:val="0"/>
          <w:sz w:val="32"/>
          <w:szCs w:val="32"/>
        </w:rPr>
        <w:t>201</w:t>
      </w:r>
      <w:r>
        <w:rPr>
          <w:rFonts w:hint="eastAsia" w:ascii="仿宋_GB2312" w:hAnsi="仿宋_GB2312" w:eastAsia="仿宋_GB2312" w:cs="仿宋_GB2312"/>
          <w:color w:val="000000" w:themeColor="text1"/>
          <w:kern w:val="0"/>
          <w:sz w:val="32"/>
          <w:szCs w:val="32"/>
          <w:lang w:val="en-US" w:eastAsia="zh-CN"/>
        </w:rPr>
        <w:t>9</w:t>
      </w:r>
      <w:r>
        <w:rPr>
          <w:rFonts w:hint="eastAsia" w:ascii="仿宋_GB2312" w:hAnsi="仿宋_GB2312" w:eastAsia="仿宋_GB2312" w:cs="仿宋_GB2312"/>
          <w:color w:val="000000" w:themeColor="text1"/>
          <w:kern w:val="0"/>
          <w:sz w:val="32"/>
          <w:szCs w:val="32"/>
        </w:rPr>
        <w:t>年度绩效考核结果为二等单位。根据评分标准，本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themeColor="text1"/>
          <w:kern w:val="0"/>
          <w:sz w:val="32"/>
          <w:szCs w:val="32"/>
        </w:rPr>
        <w:t>该项指标得分6分。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bookmarkStart w:id="24" w:name="_Toc27583"/>
      <w:r>
        <w:rPr>
          <w:rFonts w:hint="eastAsia" w:ascii="仿宋_GB2312" w:hAnsi="仿宋_GB2312" w:eastAsia="仿宋_GB2312" w:cs="仿宋_GB2312"/>
          <w:b/>
          <w:color w:val="434343"/>
          <w:kern w:val="0"/>
          <w:sz w:val="32"/>
          <w:szCs w:val="32"/>
        </w:rPr>
        <w:t>（</w:t>
      </w:r>
      <w:bookmarkEnd w:id="24"/>
      <w:r>
        <w:rPr>
          <w:rFonts w:hint="eastAsia" w:ascii="仿宋_GB2312" w:hAnsi="仿宋_GB2312" w:eastAsia="仿宋_GB2312" w:cs="仿宋_GB2312"/>
          <w:b/>
          <w:color w:val="000000"/>
          <w:kern w:val="0"/>
          <w:sz w:val="32"/>
          <w:szCs w:val="32"/>
        </w:rPr>
        <w:t>2）履职效益（18分）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①经济效益、社会效益（6分）：201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年本年度非税收入未存在违纪行为；资产处置程序规范；项目资金管理符合规定；按照年初制定的工作计划和县政府规定的工作目标，各项工作基本完成，取得了较好的社会效益。根据评分标准，本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该项指标得</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pacing w:val="-5"/>
          <w:kern w:val="0"/>
          <w:sz w:val="32"/>
          <w:szCs w:val="32"/>
        </w:rPr>
        <w:t>②</w:t>
      </w:r>
      <w:r>
        <w:rPr>
          <w:rFonts w:hint="eastAsia" w:ascii="仿宋_GB2312" w:hAnsi="仿宋_GB2312" w:eastAsia="仿宋_GB2312" w:cs="仿宋_GB2312"/>
          <w:color w:val="000000"/>
          <w:kern w:val="0"/>
          <w:sz w:val="32"/>
          <w:szCs w:val="32"/>
        </w:rPr>
        <w:t>行政效能（6分）：本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不断改进行政管理，讲求优质高效，改进文风会风，精简会议、文件，严格资产管理和经费使用，积极节能降耗，行政成本进一步降低，根据评分标准，本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该项指标</w:t>
      </w:r>
      <w:r>
        <w:rPr>
          <w:rFonts w:hint="eastAsia" w:ascii="仿宋_GB2312" w:hAnsi="仿宋_GB2312" w:eastAsia="仿宋_GB2312" w:cs="仿宋_GB2312"/>
          <w:color w:val="000000"/>
          <w:kern w:val="0"/>
          <w:sz w:val="32"/>
          <w:szCs w:val="32"/>
          <w:lang w:eastAsia="zh-CN"/>
        </w:rPr>
        <w:t>得分</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③社会公众或服务对象满意度（6分）：本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年度社会公众或服务对象对本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工作基本满意，根据评分标准，本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该项指标得分</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分。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bookmarkStart w:id="25" w:name="_Toc13550"/>
      <w:r>
        <w:rPr>
          <w:rFonts w:hint="eastAsia" w:ascii="仿宋_GB2312" w:hAnsi="仿宋_GB2312" w:eastAsia="仿宋_GB2312" w:cs="仿宋_GB2312"/>
          <w:b/>
          <w:color w:val="434343"/>
          <w:kern w:val="0"/>
          <w:sz w:val="32"/>
          <w:szCs w:val="32"/>
        </w:rPr>
        <w:t>六、绩效评价结论</w:t>
      </w:r>
      <w:bookmarkEnd w:id="25"/>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根据评价指标体系测算，本</w:t>
      </w:r>
      <w:r>
        <w:rPr>
          <w:rFonts w:hint="eastAsia" w:ascii="仿宋_GB2312" w:hAnsi="仿宋_GB2312" w:eastAsia="仿宋_GB2312" w:cs="仿宋_GB2312"/>
          <w:color w:val="000000" w:themeColor="text1"/>
          <w:kern w:val="0"/>
          <w:sz w:val="32"/>
          <w:szCs w:val="32"/>
          <w:lang w:eastAsia="zh-CN"/>
        </w:rPr>
        <w:t>中心</w:t>
      </w:r>
      <w:r>
        <w:rPr>
          <w:rFonts w:hint="eastAsia" w:ascii="仿宋_GB2312" w:hAnsi="仿宋_GB2312" w:eastAsia="仿宋_GB2312" w:cs="仿宋_GB2312"/>
          <w:color w:val="000000"/>
          <w:kern w:val="0"/>
          <w:sz w:val="32"/>
          <w:szCs w:val="32"/>
        </w:rPr>
        <w:t>部门整体支出绩效评价得分是：投入绩效为13分，过程绩效为</w:t>
      </w:r>
      <w:r>
        <w:rPr>
          <w:rFonts w:hint="eastAsia" w:ascii="仿宋_GB2312" w:hAnsi="仿宋_GB2312" w:eastAsia="仿宋_GB2312" w:cs="仿宋_GB2312"/>
          <w:color w:val="000000"/>
          <w:kern w:val="0"/>
          <w:sz w:val="32"/>
          <w:szCs w:val="32"/>
          <w:lang w:val="en-US" w:eastAsia="zh-CN"/>
        </w:rPr>
        <w:t>53</w:t>
      </w:r>
      <w:r>
        <w:rPr>
          <w:rFonts w:hint="eastAsia" w:ascii="仿宋_GB2312" w:hAnsi="仿宋_GB2312" w:eastAsia="仿宋_GB2312" w:cs="仿宋_GB2312"/>
          <w:color w:val="000000"/>
          <w:kern w:val="0"/>
          <w:sz w:val="32"/>
          <w:szCs w:val="32"/>
        </w:rPr>
        <w:t>分，产出及效率绩效为2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分，总绩效为</w:t>
      </w:r>
      <w:r>
        <w:rPr>
          <w:rFonts w:hint="eastAsia" w:ascii="仿宋_GB2312" w:hAnsi="仿宋_GB2312" w:eastAsia="仿宋_GB2312" w:cs="仿宋_GB2312"/>
          <w:color w:val="000000"/>
          <w:kern w:val="0"/>
          <w:sz w:val="32"/>
          <w:szCs w:val="32"/>
          <w:lang w:val="en-US" w:eastAsia="zh-CN"/>
        </w:rPr>
        <w:t>90</w:t>
      </w:r>
      <w:r>
        <w:rPr>
          <w:rFonts w:hint="eastAsia" w:ascii="仿宋_GB2312" w:hAnsi="仿宋_GB2312" w:eastAsia="仿宋_GB2312" w:cs="仿宋_GB2312"/>
          <w:color w:val="000000"/>
          <w:kern w:val="0"/>
          <w:sz w:val="32"/>
          <w:szCs w:val="32"/>
        </w:rPr>
        <w:t>分。</w:t>
      </w:r>
      <w:bookmarkStart w:id="26" w:name="_Toc30778"/>
      <w:bookmarkEnd w:id="26"/>
      <w:bookmarkStart w:id="27" w:name="_Toc8702"/>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434343"/>
          <w:kern w:val="0"/>
          <w:sz w:val="32"/>
          <w:szCs w:val="32"/>
        </w:rPr>
        <w:t>七、有关建议</w:t>
      </w:r>
      <w:bookmarkEnd w:id="27"/>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建议加强政策学习，提高思想认识。组织相关人员认真学习《预算法》等相关法规、制度，提高</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领导对全面预算管理的重视程度，增强财务人员的预算意识，坚持先有预算、后有支出，没有预算不得支出。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center"/>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保靖县</w:t>
      </w:r>
      <w:r>
        <w:rPr>
          <w:rFonts w:hint="eastAsia" w:ascii="仿宋_GB2312" w:hAnsi="仿宋_GB2312" w:eastAsia="仿宋_GB2312" w:cs="仿宋_GB2312"/>
          <w:color w:val="000000"/>
          <w:kern w:val="0"/>
          <w:sz w:val="32"/>
          <w:szCs w:val="32"/>
          <w:lang w:eastAsia="zh-CN"/>
        </w:rPr>
        <w:t>库区移民事务中心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16</w:t>
      </w:r>
      <w:r>
        <w:rPr>
          <w:rFonts w:hint="eastAsia" w:ascii="仿宋_GB2312" w:hAnsi="仿宋_GB2312" w:eastAsia="仿宋_GB2312" w:cs="仿宋_GB2312"/>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6345"/>
    <w:multiLevelType w:val="multilevel"/>
    <w:tmpl w:val="22526345"/>
    <w:lvl w:ilvl="0" w:tentative="0">
      <w:start w:val="1"/>
      <w:numFmt w:val="japaneseCounting"/>
      <w:lvlText w:val="（%1）"/>
      <w:lvlJc w:val="left"/>
      <w:pPr>
        <w:ind w:left="1710" w:hanging="1080"/>
      </w:pPr>
      <w:rPr>
        <w:rFonts w:hint="default" w:cs="宋体"/>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55F08C0B"/>
    <w:multiLevelType w:val="singleLevel"/>
    <w:tmpl w:val="55F08C0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B2"/>
    <w:rsid w:val="000D0499"/>
    <w:rsid w:val="000D248F"/>
    <w:rsid w:val="00137C5A"/>
    <w:rsid w:val="001B1F11"/>
    <w:rsid w:val="00255A6F"/>
    <w:rsid w:val="00274BA3"/>
    <w:rsid w:val="00312FAC"/>
    <w:rsid w:val="00363867"/>
    <w:rsid w:val="0038104C"/>
    <w:rsid w:val="00396FE4"/>
    <w:rsid w:val="004450BD"/>
    <w:rsid w:val="004B2988"/>
    <w:rsid w:val="004F0C73"/>
    <w:rsid w:val="00584D73"/>
    <w:rsid w:val="00622072"/>
    <w:rsid w:val="006C1ED1"/>
    <w:rsid w:val="00706C6C"/>
    <w:rsid w:val="00817374"/>
    <w:rsid w:val="00875980"/>
    <w:rsid w:val="00892DDB"/>
    <w:rsid w:val="008B4C9A"/>
    <w:rsid w:val="008D7BCA"/>
    <w:rsid w:val="008E60D6"/>
    <w:rsid w:val="00942BFF"/>
    <w:rsid w:val="009C7E9B"/>
    <w:rsid w:val="009F0802"/>
    <w:rsid w:val="00A73A28"/>
    <w:rsid w:val="00A74E0B"/>
    <w:rsid w:val="00B35919"/>
    <w:rsid w:val="00B93D80"/>
    <w:rsid w:val="00BC3BC4"/>
    <w:rsid w:val="00C1600C"/>
    <w:rsid w:val="00C203E3"/>
    <w:rsid w:val="00C51849"/>
    <w:rsid w:val="00C75C30"/>
    <w:rsid w:val="00C93268"/>
    <w:rsid w:val="00CE08D0"/>
    <w:rsid w:val="00D20B8A"/>
    <w:rsid w:val="00D8025C"/>
    <w:rsid w:val="00DF59D8"/>
    <w:rsid w:val="00E70378"/>
    <w:rsid w:val="00E913F7"/>
    <w:rsid w:val="00EB5A30"/>
    <w:rsid w:val="00F742E8"/>
    <w:rsid w:val="00F873B2"/>
    <w:rsid w:val="04EF77DB"/>
    <w:rsid w:val="0BE9281E"/>
    <w:rsid w:val="0DC0106B"/>
    <w:rsid w:val="157668CC"/>
    <w:rsid w:val="19AD3FA3"/>
    <w:rsid w:val="2A9832F2"/>
    <w:rsid w:val="2B9F279E"/>
    <w:rsid w:val="30F33152"/>
    <w:rsid w:val="346A190B"/>
    <w:rsid w:val="37A0351F"/>
    <w:rsid w:val="3FE94C91"/>
    <w:rsid w:val="423615C8"/>
    <w:rsid w:val="48870E65"/>
    <w:rsid w:val="50350B4D"/>
    <w:rsid w:val="5773781E"/>
    <w:rsid w:val="59214DAB"/>
    <w:rsid w:val="5D361795"/>
    <w:rsid w:val="6E05542A"/>
    <w:rsid w:val="754F7112"/>
    <w:rsid w:val="75FF7E27"/>
    <w:rsid w:val="7C102C42"/>
    <w:rsid w:val="7FA9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7"/>
    <w:qFormat/>
    <w:uiPriority w:val="0"/>
  </w:style>
  <w:style w:type="character" w:customStyle="1" w:styleId="9">
    <w:name w:val="批注框文本 Char"/>
    <w:basedOn w:val="7"/>
    <w:link w:val="2"/>
    <w:semiHidden/>
    <w:qFormat/>
    <w:uiPriority w:val="99"/>
    <w:rPr>
      <w:kern w:val="2"/>
      <w:sz w:val="18"/>
      <w:szCs w:val="18"/>
    </w:rPr>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AC142-55F9-4C77-A8B4-E4A03FD331C5}">
  <ds:schemaRefs/>
</ds:datastoreItem>
</file>

<file path=docProps/app.xml><?xml version="1.0" encoding="utf-8"?>
<Properties xmlns="http://schemas.openxmlformats.org/officeDocument/2006/extended-properties" xmlns:vt="http://schemas.openxmlformats.org/officeDocument/2006/docPropsVTypes">
  <Template>Normal</Template>
  <Pages>1</Pages>
  <Words>700</Words>
  <Characters>3991</Characters>
  <Lines>33</Lines>
  <Paragraphs>9</Paragraphs>
  <TotalTime>11</TotalTime>
  <ScaleCrop>false</ScaleCrop>
  <LinksUpToDate>false</LinksUpToDate>
  <CharactersWithSpaces>4682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2016-12-07T01:44:00Z</dcterms:created>
  <dc:creator>Administrator</dc:creator>
  <cp:lastModifiedBy>9 5 2 7</cp:lastModifiedBy>
  <cp:lastPrinted>2019-07-18T01:11:00Z</cp:lastPrinted>
  <dcterms:modified xsi:type="dcterms:W3CDTF">2020-10-09T03:14:04Z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