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保靖县卫生计生综合监督执法局部门整体支出绩效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自评报告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一、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单位基本情况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保靖县卫生监督所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</w:rPr>
        <w:t>县卫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管理的</w:t>
      </w:r>
      <w:r>
        <w:rPr>
          <w:rFonts w:hint="eastAsia" w:ascii="仿宋_GB2312" w:hAnsi="仿宋_GB2312" w:eastAsia="仿宋_GB2312" w:cs="仿宋_GB2312"/>
          <w:sz w:val="28"/>
          <w:szCs w:val="28"/>
        </w:rPr>
        <w:t>副科级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全额</w:t>
      </w:r>
      <w:r>
        <w:rPr>
          <w:rFonts w:hint="eastAsia" w:ascii="仿宋_GB2312" w:hAnsi="仿宋_GB2312" w:eastAsia="仿宋_GB2312" w:cs="仿宋_GB2312"/>
          <w:sz w:val="28"/>
          <w:szCs w:val="28"/>
        </w:rPr>
        <w:t>事业单位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，参照公务员管理。于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2006年8月正式挂牌成立，</w:t>
      </w:r>
      <w:r>
        <w:rPr>
          <w:rFonts w:hint="eastAsia" w:ascii="仿宋_GB2312" w:hAnsi="仿宋_GB2312" w:eastAsia="仿宋_GB2312" w:cs="仿宋_GB2312"/>
          <w:sz w:val="28"/>
          <w:szCs w:val="28"/>
        </w:rPr>
        <w:t>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核定</w:t>
      </w:r>
      <w:r>
        <w:rPr>
          <w:rFonts w:hint="eastAsia" w:ascii="仿宋_GB2312" w:hAnsi="仿宋_GB2312" w:eastAsia="仿宋_GB2312" w:cs="仿宋_GB2312"/>
          <w:sz w:val="28"/>
          <w:szCs w:val="28"/>
        </w:rPr>
        <w:t>24个编制，实际在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编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7月，县编办下文撤销保靖县人口和计划生育社会抚养征收局，将其职能、人员编制划入保靖县卫生监督所，同时将保靖县卫生监督所更名为保靖县卫生计生综合监督执法局,核定行政事业编33人，在编人员29人，退休1人，其中参照公务员管理24人，事业编制人员9人。</w:t>
      </w:r>
    </w:p>
    <w:p>
      <w:pPr>
        <w:spacing w:line="500" w:lineRule="exact"/>
        <w:ind w:firstLine="602" w:firstLineChars="200"/>
        <w:textAlignment w:val="baseline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、单位职能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w:t>组织拟定辖区内卫生监督执法工作计划并进行实施及督查；负责开展卫生法律、法规知识宣传、咨询并对卫生监督信息收集、整理、分析上报；负责管辖内卫生许可和执业许可的申请受理、初审、上报和批准后证书发放的具体工作；负责全县传染病防治工作的督查；对卫生污染、中毒事故等重大突发公共卫生事件等进行调查取证，采取必要的控制措施，提出处理意见；对新、改、扩建工程的选址、设计进行卫生审查和竣工验收；组织现场监督检测采样工作；承担人民政府和上级卫生行政部门交付的其他任务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部门整体支出绩效评价分析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1、投入</w:t>
      </w:r>
    </w:p>
    <w:p>
      <w:pPr>
        <w:numPr>
          <w:ilvl w:val="0"/>
          <w:numId w:val="0"/>
        </w:numPr>
        <w:ind w:firstLine="63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（1）、目标设定</w:t>
      </w:r>
    </w:p>
    <w:p>
      <w:pPr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绩效目标合理性（3分）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本单位部门所设立的整体绩效目标符合国家法律法规、国民经济和社会发展总体规划；符合部门“三定”方案确定的职责；也符合部门制定的中长期实施规划。根据评价标准该项指标得分3分。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绩效指标明确性（3分）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本单位将部门整体的绩效目标细化分解为具体的工作任务；通过清晰、可衡量的指标予以体现；与部门年度的任务数或计划数相对应；与本年度部门预算资金相匹配。根据评价标准该项指标得分3分。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（2）、预算配置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在职人员控制率（3分）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本单位2019年年末实际在职人员为23人，而编委核定的在职人数为33人，实际在职人员数占编委核定的编制数的比率=（在职人员数÷编制数）×100%=69%，根据评价标准该项指标得分3分。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“三公经费”变动率（4分）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本单位2019年度预算安排“三公经费”总额为2万元，本年度“三公经费”变动率=（本年度“三公经费”预算数－上年度“三公经费”预算数）÷上年度“三公经费”预算数×100%= -60。根据评价标准该项指标得分4分。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2、过程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（1）、预算执行情况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预算完成率（5分）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上年没有结余和结转，2019年初预算221万元，本年追加预算0万元，年末没有结转和结余；本年度预算完成率=（上年度结转＋年初预算＋本年追加预算－年末结余）÷（上年结转＋年初预算＋本年追加预算）×100%=100%。根据评价标准该项指标得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预算控制率（5分）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本单位本年预算追加数为0万元，年初预算数为221万元，预算控制率=（本年预算追加数÷年初预算数）×100%=0。根据评价标准该项指标得分5分。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新建楼堂馆所面积控制率（5分）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本单位2019年度无完工的新建楼堂馆所 ，根据评价标准该项指标得5分。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新建楼堂馆所投资概算控制率（5分）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本单位2019年度无完工的新建楼堂馆所，根据评价标准该项指标得5分。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（2）、预算管理情况</w:t>
      </w:r>
    </w:p>
    <w:p>
      <w:pPr>
        <w:numPr>
          <w:ilvl w:val="0"/>
          <w:numId w:val="0"/>
        </w:numPr>
        <w:ind w:firstLine="30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公用经费控制率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（8分）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2019年度本单位实际公用经费支出为15万元，年初预算安排公用经费为15万元，公用经费控制率=（实际支出公用经费总额÷预算安排公用经费总额）×100%=100%。根据评价标准该项指标得8分。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“三公经费”控制率（8分）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2019年度本单位“三公经费”实际支出数为2万元，均为公务接待费，“三公经费”年初预算数为2万元，“三公经费”控制率=（“三公经费”实际支出数÷“三公经费”预算安排数）×100%=100% 。根据评价标准该项指标得分8分。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政府采购执行率（6分）</w:t>
      </w:r>
    </w:p>
    <w:p>
      <w:pPr>
        <w:numPr>
          <w:ilvl w:val="0"/>
          <w:numId w:val="0"/>
        </w:numPr>
        <w:ind w:firstLine="42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2019年度本单位无政府采购项目，根据评价标准该项指标得分6分。</w:t>
      </w:r>
    </w:p>
    <w:p>
      <w:pPr>
        <w:numPr>
          <w:ilvl w:val="0"/>
          <w:numId w:val="0"/>
        </w:num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管理制度健全性（8分）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本单位为加强预算管理、规范财务行为特制定了内部财务管理制度、会计核算制度、本单位厉行节约制度等；相关管理制度合法、合规、完整并得到了有效执行。根据评价标准该项指标得分8分。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资金使用合规性（6分）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本单位预算资金符合相关的预算财务管理制度的规定，资金使用无截留、挤占、挪用、虚列支出等情况。根据评价标准该项指标得分6分。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预决算信息公开性（5分） 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本单位按规定内容、规定时限公开预决算信息，基础数据信息和会计信息资料真实、完整。根据评价标准该项指标得分5分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3、产出及效率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（1）、职责履行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、重点工作实际完成率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（8分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Arial" w:hAnsi="Arial" w:eastAsia="宋体" w:cs="Arial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2019年绩效办对本单位工作考核得满分，该项得分=（绩效办对应部分考核得分÷100%）÷8。根据评价标准该项得8分</w:t>
      </w:r>
      <w:r>
        <w:rPr>
          <w:rFonts w:hint="eastAsia" w:ascii="Arial" w:hAnsi="Arial" w:eastAsia="宋体" w:cs="Arial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（2）、履职效益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eastAsia="宋体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社会效益（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6分）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本单位对辖区内卫生监督执法工作计划并进行实施及督查，社会效益好。根据评价标准该项得5分。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行政效能（6分） 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本单位实施电话通知、微信通知；上报（微信、QQ邮箱）；改进会风、减少会议次数。根据评价标准该项得分6分。</w:t>
      </w:r>
    </w:p>
    <w:p>
      <w:pPr>
        <w:numPr>
          <w:ilvl w:val="0"/>
          <w:numId w:val="0"/>
        </w:num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= 3 \* GB3 \* MERGEFORMAT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sz w:val="28"/>
          <w:szCs w:val="28"/>
        </w:rPr>
        <w:t>③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、社会公众或服务对象满意度（6分） 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本单位及相关部门未接到一起对本单位的投诉举报，满意度100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％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根据评价标准该项得分6分。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四、绩效评价结论</w:t>
      </w:r>
    </w:p>
    <w:p>
      <w:pPr>
        <w:numPr>
          <w:ilvl w:val="0"/>
          <w:numId w:val="0"/>
        </w:numPr>
        <w:ind w:firstLine="42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根据评价指标体系测算，本单位2019年度部门整体支出绩效评价得分是：投入成绩为13分，过程绩效为56分，产出及效率绩效为18分，总成绩为87分。评价等级为“良好”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五、存在的问题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预算资金严重不足，不能满足监督工作开展的需要，建议增加预算经费。</w:t>
      </w: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520" w:firstLineChars="1100"/>
        <w:jc w:val="both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保靖县卫生计生综合监督执法局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              2020年7月23日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FDD1"/>
    <w:multiLevelType w:val="singleLevel"/>
    <w:tmpl w:val="599CFDD1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4187"/>
    <w:rsid w:val="03E74C25"/>
    <w:rsid w:val="119E643E"/>
    <w:rsid w:val="1A83507A"/>
    <w:rsid w:val="1FF335ED"/>
    <w:rsid w:val="25446016"/>
    <w:rsid w:val="2D4C7452"/>
    <w:rsid w:val="336D3B8F"/>
    <w:rsid w:val="34B773EB"/>
    <w:rsid w:val="352851FB"/>
    <w:rsid w:val="3AD902AA"/>
    <w:rsid w:val="3F3C696B"/>
    <w:rsid w:val="40904187"/>
    <w:rsid w:val="4A460E1A"/>
    <w:rsid w:val="5169440E"/>
    <w:rsid w:val="54F9674A"/>
    <w:rsid w:val="55CD4F86"/>
    <w:rsid w:val="588751FD"/>
    <w:rsid w:val="58A0417B"/>
    <w:rsid w:val="58C2170D"/>
    <w:rsid w:val="60230C02"/>
    <w:rsid w:val="62967646"/>
    <w:rsid w:val="6B4F2DF9"/>
    <w:rsid w:val="6E2C6975"/>
    <w:rsid w:val="76393297"/>
    <w:rsid w:val="7C5B1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2017-08-23T03:06:00Z</dcterms:created>
  <dc:creator>Administrator</dc:creator>
  <cp:lastModifiedBy>9 5 2 7</cp:lastModifiedBy>
  <cp:lastPrinted>2020-07-23T09:27:00Z</cp:lastPrinted>
  <dcterms:modified xsi:type="dcterms:W3CDTF">2020-10-09T08:57:05Z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