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78" w:lineRule="atLeast"/>
        <w:rPr>
          <w:rFonts w:hint="eastAsia"/>
        </w:rPr>
      </w:pPr>
      <w:r>
        <w:rPr>
          <w:rFonts w:hint="eastAsia" w:ascii="黑体" w:hAnsi="黑体" w:eastAsia="黑体" w:cs="黑体"/>
          <w:b w:val="0"/>
          <w:bCs/>
          <w:color w:val="000000"/>
          <w:kern w:val="0"/>
          <w:sz w:val="32"/>
          <w:szCs w:val="32"/>
        </w:rPr>
        <w:t>附件</w:t>
      </w:r>
      <w:r>
        <w:rPr>
          <w:rFonts w:hint="eastAsia" w:ascii="黑体" w:hAnsi="黑体" w:eastAsia="黑体" w:cs="黑体"/>
          <w:b w:val="0"/>
          <w:bCs/>
          <w:color w:val="000000"/>
          <w:kern w:val="0"/>
          <w:sz w:val="32"/>
          <w:szCs w:val="32"/>
          <w:lang w:val="en-US" w:eastAsia="zh-CN"/>
        </w:rPr>
        <w:t>2</w:t>
      </w:r>
    </w:p>
    <w:p>
      <w:pPr>
        <w:widowControl/>
        <w:snapToGrid w:val="0"/>
        <w:spacing w:line="578" w:lineRule="atLeast"/>
        <w:jc w:val="center"/>
        <w:rPr>
          <w:rFonts w:hint="eastAsia" w:ascii="方正小标宋简体" w:hAnsi="方正小标宋简体" w:eastAsia="方正小标宋简体" w:cs="方正小标宋简体"/>
          <w:kern w:val="0"/>
          <w:sz w:val="44"/>
          <w:szCs w:val="44"/>
        </w:rPr>
      </w:pPr>
    </w:p>
    <w:p>
      <w:pPr>
        <w:widowControl/>
        <w:snapToGrid w:val="0"/>
        <w:spacing w:line="578" w:lineRule="atLeas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整体支出绩效评</w:t>
      </w:r>
      <w:r>
        <w:rPr>
          <w:rFonts w:hint="eastAsia" w:ascii="方正小标宋简体" w:hAnsi="方正小标宋简体" w:eastAsia="方正小标宋简体" w:cs="方正小标宋简体"/>
          <w:kern w:val="0"/>
          <w:sz w:val="44"/>
          <w:szCs w:val="44"/>
          <w:lang w:eastAsia="zh-CN"/>
        </w:rPr>
        <w:t>价指标</w:t>
      </w:r>
      <w:r>
        <w:rPr>
          <w:rFonts w:hint="eastAsia" w:ascii="方正小标宋简体" w:hAnsi="方正小标宋简体" w:eastAsia="方正小标宋简体" w:cs="方正小标宋简体"/>
          <w:kern w:val="0"/>
          <w:sz w:val="44"/>
          <w:szCs w:val="44"/>
        </w:rPr>
        <w:t>表</w:t>
      </w:r>
    </w:p>
    <w:tbl>
      <w:tblPr>
        <w:tblStyle w:val="6"/>
        <w:tblW w:w="0" w:type="auto"/>
        <w:jc w:val="center"/>
        <w:tblLayout w:type="fixed"/>
        <w:tblCellMar>
          <w:top w:w="0" w:type="dxa"/>
          <w:left w:w="108" w:type="dxa"/>
          <w:bottom w:w="0" w:type="dxa"/>
          <w:right w:w="108" w:type="dxa"/>
        </w:tblCellMar>
      </w:tblPr>
      <w:tblGrid>
        <w:gridCol w:w="518"/>
        <w:gridCol w:w="416"/>
        <w:gridCol w:w="677"/>
        <w:gridCol w:w="416"/>
        <w:gridCol w:w="1015"/>
        <w:gridCol w:w="416"/>
        <w:gridCol w:w="3016"/>
        <w:gridCol w:w="3259"/>
        <w:gridCol w:w="61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10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三级</w:t>
            </w:r>
          </w:p>
          <w:p>
            <w:pPr>
              <w:widowControl/>
              <w:jc w:val="center"/>
              <w:rPr>
                <w:rFonts w:ascii="宋体" w:hAnsi="宋体" w:cs="宋体"/>
                <w:kern w:val="0"/>
                <w:sz w:val="20"/>
                <w:szCs w:val="20"/>
              </w:rPr>
            </w:pPr>
            <w:r>
              <w:rPr>
                <w:rFonts w:hint="eastAsia" w:ascii="宋体" w:hAnsi="宋体"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分值</w:t>
            </w:r>
          </w:p>
        </w:tc>
        <w:tc>
          <w:tcPr>
            <w:tcW w:w="30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评价标准</w:t>
            </w:r>
          </w:p>
        </w:tc>
        <w:tc>
          <w:tcPr>
            <w:tcW w:w="325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指标说明</w:t>
            </w:r>
          </w:p>
        </w:tc>
        <w:tc>
          <w:tcPr>
            <w:tcW w:w="61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rPr>
              <w:t>得分</w:t>
            </w:r>
            <w:r>
              <w:rPr>
                <w:rFonts w:hint="eastAsia" w:ascii="宋体" w:hAnsi="宋体" w:cs="宋体"/>
                <w:kern w:val="0"/>
                <w:sz w:val="20"/>
                <w:szCs w:val="20"/>
                <w:lang w:val="en-US" w:eastAsia="zh-CN"/>
              </w:rPr>
              <w:t>90</w:t>
            </w:r>
          </w:p>
        </w:tc>
      </w:tr>
      <w:tr>
        <w:tblPrEx>
          <w:tblCellMar>
            <w:top w:w="0" w:type="dxa"/>
            <w:left w:w="108" w:type="dxa"/>
            <w:bottom w:w="0" w:type="dxa"/>
            <w:right w:w="108" w:type="dxa"/>
          </w:tblCellMar>
        </w:tblPrEx>
        <w:trPr>
          <w:trHeight w:val="945" w:hRule="atLeast"/>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投入</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7" w:type="dxa"/>
            <w:vMerge w:val="restart"/>
            <w:tcBorders>
              <w:top w:val="nil"/>
              <w:left w:val="nil"/>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目标设定</w:t>
            </w:r>
          </w:p>
        </w:tc>
        <w:tc>
          <w:tcPr>
            <w:tcW w:w="416"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015" w:type="dxa"/>
            <w:tcBorders>
              <w:top w:val="nil"/>
              <w:left w:val="nil"/>
              <w:bottom w:val="single" w:color="auto" w:sz="4" w:space="0"/>
              <w:right w:val="single" w:color="auto" w:sz="4" w:space="0"/>
            </w:tcBorders>
            <w:noWrap w:val="0"/>
            <w:vAlign w:val="center"/>
          </w:tcPr>
          <w:p>
            <w:pPr>
              <w:jc w:val="center"/>
              <w:rPr>
                <w:sz w:val="18"/>
                <w:szCs w:val="18"/>
              </w:rPr>
            </w:pPr>
            <w:r>
              <w:rPr>
                <w:sz w:val="18"/>
                <w:szCs w:val="18"/>
              </w:rPr>
              <w:t>绩效目标</w:t>
            </w:r>
          </w:p>
          <w:p>
            <w:pPr>
              <w:jc w:val="center"/>
              <w:rPr>
                <w:sz w:val="18"/>
                <w:szCs w:val="18"/>
              </w:rPr>
            </w:pPr>
            <w:r>
              <w:rPr>
                <w:sz w:val="18"/>
                <w:szCs w:val="18"/>
              </w:rPr>
              <w:t>合理性</w:t>
            </w:r>
          </w:p>
        </w:tc>
        <w:tc>
          <w:tcPr>
            <w:tcW w:w="41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bottom w:val="single" w:color="auto" w:sz="4" w:space="0"/>
            </w:tcBorders>
            <w:noWrap w:val="0"/>
            <w:vAlign w:val="center"/>
          </w:tcPr>
          <w:p>
            <w:pPr>
              <w:jc w:val="left"/>
              <w:rPr>
                <w:rFonts w:ascii="宋体" w:hAnsi="宋体" w:cs="宋体"/>
                <w:kern w:val="0"/>
                <w:sz w:val="20"/>
                <w:szCs w:val="20"/>
              </w:rPr>
            </w:pPr>
            <w:r>
              <w:rPr>
                <w:rFonts w:ascii="宋体" w:hAnsi="宋体" w:cs="宋体"/>
                <w:kern w:val="0"/>
                <w:sz w:val="20"/>
                <w:szCs w:val="20"/>
              </w:rPr>
              <w:t>①符合国家法律法规、国民经济和社会发展总体规划；</w:t>
            </w:r>
            <w:r>
              <w:rPr>
                <w:rFonts w:ascii="宋体" w:hAnsi="宋体" w:cs="宋体"/>
                <w:kern w:val="0"/>
                <w:sz w:val="20"/>
                <w:szCs w:val="20"/>
              </w:rPr>
              <w:br w:type="textWrapping"/>
            </w:r>
            <w:r>
              <w:rPr>
                <w:rFonts w:ascii="宋体" w:hAnsi="宋体" w:cs="宋体"/>
                <w:kern w:val="0"/>
                <w:sz w:val="20"/>
                <w:szCs w:val="20"/>
              </w:rPr>
              <w:t>②符合部门“三定”方案确定的职责；</w:t>
            </w:r>
            <w:r>
              <w:rPr>
                <w:rFonts w:ascii="宋体" w:hAnsi="宋体" w:cs="宋体"/>
                <w:kern w:val="0"/>
                <w:sz w:val="20"/>
                <w:szCs w:val="20"/>
              </w:rPr>
              <w:br w:type="textWrapping"/>
            </w:r>
            <w:r>
              <w:rPr>
                <w:rFonts w:ascii="宋体" w:hAnsi="宋体" w:cs="宋体"/>
                <w:kern w:val="0"/>
                <w:sz w:val="20"/>
                <w:szCs w:val="20"/>
              </w:rPr>
              <w:t>③符合部门制定的中长期实施规划。</w:t>
            </w:r>
            <w:r>
              <w:rPr>
                <w:rFonts w:hint="eastAsia" w:ascii="宋体" w:hAnsi="宋体" w:cs="宋体"/>
                <w:kern w:val="0"/>
                <w:sz w:val="20"/>
                <w:szCs w:val="20"/>
              </w:rPr>
              <w:t>以上情况每出现一例不符合要求的扣1分，扣完为止。</w:t>
            </w:r>
          </w:p>
        </w:tc>
        <w:tc>
          <w:tcPr>
            <w:tcW w:w="3259"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r>
              <w:rPr>
                <w:sz w:val="18"/>
                <w:szCs w:val="18"/>
              </w:rPr>
              <w:t>部门所设立的整体绩效目标依据是否充分，是否符合客观实际，用以反映和考核部门整体绩效目标与部门履职、年度工作任务的相符性情况。</w:t>
            </w:r>
          </w:p>
          <w:p>
            <w:pPr>
              <w:widowControl/>
              <w:jc w:val="left"/>
              <w:rPr>
                <w:rFonts w:ascii="宋体" w:hAnsi="宋体" w:cs="宋体"/>
                <w:kern w:val="0"/>
                <w:sz w:val="20"/>
                <w:szCs w:val="20"/>
              </w:rPr>
            </w:pP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trHeight w:val="915"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416"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1015" w:type="dxa"/>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绩效指标</w:t>
            </w:r>
          </w:p>
          <w:p>
            <w:pPr>
              <w:jc w:val="center"/>
              <w:rPr>
                <w:sz w:val="18"/>
                <w:szCs w:val="18"/>
              </w:rPr>
            </w:pPr>
            <w:r>
              <w:rPr>
                <w:sz w:val="18"/>
                <w:szCs w:val="18"/>
              </w:rPr>
              <w:t>明确性</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top w:val="single" w:color="auto" w:sz="4" w:space="0"/>
              <w:bottom w:val="single" w:color="auto" w:sz="4" w:space="0"/>
            </w:tcBorders>
            <w:noWrap w:val="0"/>
            <w:vAlign w:val="center"/>
          </w:tcPr>
          <w:p>
            <w:pPr>
              <w:jc w:val="left"/>
              <w:rPr>
                <w:rFonts w:ascii="宋体" w:hAnsi="宋体" w:cs="宋体"/>
                <w:kern w:val="0"/>
                <w:sz w:val="20"/>
                <w:szCs w:val="20"/>
              </w:rPr>
            </w:pPr>
            <w:r>
              <w:rPr>
                <w:rFonts w:ascii="宋体" w:hAnsi="宋体" w:cs="宋体"/>
                <w:kern w:val="0"/>
                <w:sz w:val="20"/>
                <w:szCs w:val="20"/>
              </w:rPr>
              <w:t>①将部门整体的绩效目标细化分解为具体的工作任务；②通过清晰、可衡量的指标值予以体现。 ③与部门年度的任务数或计划数相对应；④与本年度部门预算资金相匹配。</w:t>
            </w:r>
            <w:r>
              <w:rPr>
                <w:rFonts w:hint="eastAsia" w:ascii="宋体" w:hAnsi="宋体" w:cs="宋体"/>
                <w:kern w:val="0"/>
                <w:sz w:val="20"/>
                <w:szCs w:val="20"/>
              </w:rPr>
              <w:t>以上情况每出现一例不符合要求的扣1分，扣完为止。</w:t>
            </w:r>
          </w:p>
        </w:tc>
        <w:tc>
          <w:tcPr>
            <w:tcW w:w="3259"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ind w:right="-4" w:rightChars="-2" w:firstLine="82" w:firstLineChars="46"/>
              <w:rPr>
                <w:sz w:val="18"/>
                <w:szCs w:val="18"/>
              </w:rPr>
            </w:pPr>
            <w:r>
              <w:rPr>
                <w:sz w:val="18"/>
                <w:szCs w:val="18"/>
              </w:rPr>
              <w:t>部门依据整体绩效目标所设定的绩效指标是否清晰、细化、可衡量，用以反映和考核部门整体绩效目标的明细化情况。</w:t>
            </w:r>
          </w:p>
        </w:tc>
        <w:tc>
          <w:tcPr>
            <w:tcW w:w="61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trHeight w:val="2940"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kern w:val="0"/>
                <w:sz w:val="20"/>
                <w:szCs w:val="20"/>
              </w:rPr>
            </w:pPr>
          </w:p>
        </w:tc>
        <w:tc>
          <w:tcPr>
            <w:tcW w:w="677" w:type="dxa"/>
            <w:vMerge w:val="restar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预算配置</w:t>
            </w:r>
          </w:p>
        </w:tc>
        <w:tc>
          <w:tcPr>
            <w:tcW w:w="416" w:type="dxa"/>
            <w:vMerge w:val="restar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7</w:t>
            </w:r>
          </w:p>
        </w:tc>
        <w:tc>
          <w:tcPr>
            <w:tcW w:w="101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 w:val="20"/>
                <w:szCs w:val="20"/>
              </w:rPr>
            </w:pPr>
            <w:r>
              <w:rPr>
                <w:rFonts w:hint="eastAsia" w:ascii="宋体" w:hAnsi="宋体" w:cs="宋体"/>
                <w:kern w:val="0"/>
                <w:sz w:val="20"/>
                <w:szCs w:val="20"/>
              </w:rPr>
              <w:t>在职人员控制率</w:t>
            </w:r>
          </w:p>
        </w:tc>
        <w:tc>
          <w:tcPr>
            <w:tcW w:w="41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0"/>
                <w:szCs w:val="20"/>
              </w:rPr>
            </w:pPr>
            <w:r>
              <w:rPr>
                <w:rFonts w:hint="eastAsia" w:ascii="宋体" w:hAnsi="宋体" w:cs="宋体"/>
                <w:kern w:val="0"/>
                <w:sz w:val="20"/>
                <w:szCs w:val="20"/>
              </w:rPr>
              <w:t>3</w:t>
            </w:r>
          </w:p>
        </w:tc>
        <w:tc>
          <w:tcPr>
            <w:tcW w:w="3016" w:type="dxa"/>
            <w:tcBorders>
              <w:top w:val="single" w:color="auto" w:sz="4" w:space="0"/>
            </w:tcBorders>
            <w:noWrap w:val="0"/>
            <w:vAlign w:val="center"/>
          </w:tcPr>
          <w:p>
            <w:pPr>
              <w:jc w:val="left"/>
              <w:rPr>
                <w:rFonts w:hint="eastAsia" w:ascii="宋体" w:hAnsi="宋体" w:cs="宋体"/>
                <w:kern w:val="0"/>
                <w:sz w:val="20"/>
                <w:szCs w:val="20"/>
              </w:rPr>
            </w:pPr>
            <w:r>
              <w:rPr>
                <w:rFonts w:hint="eastAsia" w:ascii="宋体" w:hAnsi="宋体" w:cs="宋体"/>
                <w:kern w:val="0"/>
                <w:sz w:val="20"/>
                <w:szCs w:val="20"/>
              </w:rPr>
              <w:t>以100%为标准。在职人员控制率≦100%，计3分；每超过一个百分点扣0.5分，扣完为止。</w:t>
            </w:r>
          </w:p>
        </w:tc>
        <w:tc>
          <w:tcPr>
            <w:tcW w:w="32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p>
            <w:pPr>
              <w:jc w:val="left"/>
              <w:rPr>
                <w:rFonts w:hint="eastAsia" w:ascii="宋体" w:hAnsi="宋体" w:cs="宋体"/>
                <w:kern w:val="0"/>
                <w:sz w:val="20"/>
                <w:szCs w:val="20"/>
              </w:rPr>
            </w:pPr>
            <w:r>
              <w:rPr>
                <w:rFonts w:hint="eastAsia" w:ascii="宋体" w:hAnsi="宋体" w:cs="宋体"/>
                <w:kern w:val="0"/>
                <w:sz w:val="20"/>
                <w:szCs w:val="20"/>
              </w:rPr>
              <w:t>在职人员控制率=（在职人员数/编制数）×100%，在职人员数：部门（单位）实际在职人数，以财政确定的部门决算编制口径为准。</w:t>
            </w:r>
            <w:r>
              <w:rPr>
                <w:rFonts w:hint="eastAsia" w:ascii="宋体" w:hAnsi="宋体" w:cs="宋体"/>
                <w:kern w:val="0"/>
                <w:sz w:val="20"/>
                <w:szCs w:val="20"/>
              </w:rPr>
              <w:br w:type="textWrapping"/>
            </w:r>
            <w:r>
              <w:rPr>
                <w:rFonts w:hint="eastAsia" w:ascii="宋体" w:hAnsi="宋体" w:cs="宋体"/>
                <w:kern w:val="0"/>
                <w:sz w:val="20"/>
                <w:szCs w:val="20"/>
              </w:rPr>
              <w:t>编制数：机构编制部门核定批复的部门（单位）的人员编制数。</w:t>
            </w:r>
          </w:p>
        </w:tc>
        <w:tc>
          <w:tcPr>
            <w:tcW w:w="61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0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“三公经费”变动率≦0,计4分；“三公经费”＞0，每超过一个百分点扣0.4分，扣完为止。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“三公经费”变动率=[（本年度“三公经费”预算数-上年度“三公经费”预算数）/上年度“三公经费”预算数]×100%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过                                                                                                                                       程</w:t>
            </w:r>
          </w:p>
        </w:tc>
        <w:tc>
          <w:tcPr>
            <w:tcW w:w="4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100%计满分，每低于5%扣2分，扣完为止。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预算完成率=（上年结转+年初预算+本年追加预算-年末结余/上年结转+年初预算+本年追加预算）×100%。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3</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预算控制率=0-10%（含），计5分；11-30%（含），计4分；31-60%（含），计3分；61-100%（含），计2分；大于100%不得分</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预算控制率=（本年追加预算/年初预算）×100%。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100%以下（含）计满分，每超出5%扣2分，扣完为止。没有楼</w:t>
            </w:r>
            <w:r>
              <w:rPr>
                <w:rFonts w:hint="eastAsia" w:ascii="宋体" w:hAnsi="宋体" w:cs="宋体"/>
                <w:kern w:val="0"/>
                <w:sz w:val="20"/>
                <w:szCs w:val="20"/>
                <w:lang w:eastAsia="zh-CN"/>
              </w:rPr>
              <w:t>堂</w:t>
            </w:r>
            <w:r>
              <w:rPr>
                <w:rFonts w:hint="eastAsia" w:ascii="宋体" w:hAnsi="宋体" w:cs="宋体"/>
                <w:kern w:val="0"/>
                <w:sz w:val="20"/>
                <w:szCs w:val="20"/>
              </w:rPr>
              <w:t>馆所项目的部门按满分计算</w:t>
            </w:r>
          </w:p>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楼堂馆所面积控制率=实际建设面积/批准建设面积×100% 。</w:t>
            </w:r>
            <w:r>
              <w:rPr>
                <w:rFonts w:hint="eastAsia" w:ascii="宋体" w:hAnsi="宋体" w:cs="宋体"/>
                <w:kern w:val="0"/>
                <w:sz w:val="20"/>
                <w:szCs w:val="20"/>
              </w:rPr>
              <w:br w:type="textWrapping"/>
            </w:r>
            <w:r>
              <w:rPr>
                <w:rFonts w:hint="eastAsia" w:ascii="宋体" w:hAnsi="宋体" w:cs="宋体"/>
                <w:kern w:val="0"/>
                <w:sz w:val="20"/>
                <w:szCs w:val="20"/>
              </w:rPr>
              <w:t>该指标以2016年完工的新建楼堂馆所为评价内容。</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100%以下（含）计满分，每超出5%扣2分，扣完为止。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楼堂馆所投资预算控制率=实际投资金额/批准投资金额×100% 。</w:t>
            </w:r>
            <w:r>
              <w:rPr>
                <w:rFonts w:hint="eastAsia" w:ascii="宋体" w:hAnsi="宋体" w:cs="宋体"/>
                <w:kern w:val="0"/>
                <w:sz w:val="20"/>
                <w:szCs w:val="20"/>
              </w:rPr>
              <w:br w:type="textWrapping"/>
            </w:r>
            <w:r>
              <w:rPr>
                <w:rFonts w:hint="eastAsia" w:ascii="宋体" w:hAnsi="宋体" w:cs="宋体"/>
                <w:kern w:val="0"/>
                <w:sz w:val="20"/>
                <w:szCs w:val="20"/>
              </w:rPr>
              <w:t>该指标以2016年完工的新建楼堂馆所为评价内容。</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预算管理</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100%以下（含）计满分，每超出1%扣1分，扣完为止。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公用经费控制率=（实际支出公用经费总额/预算安排公用经费总额）×100%。</w:t>
            </w:r>
            <w:r>
              <w:rPr>
                <w:rFonts w:hint="eastAsia" w:ascii="宋体" w:hAnsi="宋体" w:cs="宋体"/>
                <w:kern w:val="0"/>
                <w:sz w:val="20"/>
                <w:szCs w:val="20"/>
              </w:rPr>
              <w:br w:type="textWrapping"/>
            </w:r>
            <w:r>
              <w:rPr>
                <w:rFonts w:hint="eastAsia" w:ascii="宋体" w:hAnsi="宋体" w:cs="宋体"/>
                <w:kern w:val="0"/>
                <w:sz w:val="20"/>
                <w:szCs w:val="20"/>
              </w:rPr>
              <w:t>公用经费支出是指部门基本支出中的一般商品和服务支出。</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100%以下（含）计满分，每超出1%扣1分，扣完为止。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“三公经费”控制率=（“三公经费”实际支出数/“三公经费”预算安排数）×100%。</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100%计满分，每超过（降低）5%扣2分。扣完为止。</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政府采购执行率=（实际政府采购金额/政府采购预算数）×100%</w:t>
            </w:r>
            <w:r>
              <w:rPr>
                <w:rFonts w:hint="eastAsia" w:ascii="宋体" w:hAnsi="宋体" w:cs="宋体"/>
                <w:kern w:val="0"/>
                <w:sz w:val="20"/>
                <w:szCs w:val="20"/>
              </w:rPr>
              <w:br w:type="textWrapping"/>
            </w:r>
            <w:r>
              <w:rPr>
                <w:rFonts w:hint="eastAsia" w:ascii="宋体" w:hAnsi="宋体" w:cs="宋体"/>
                <w:kern w:val="0"/>
                <w:sz w:val="20"/>
                <w:szCs w:val="20"/>
              </w:rPr>
              <w:t xml:space="preserve">                </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r>
              <w:rPr>
                <w:rFonts w:hint="eastAsia" w:ascii="宋体" w:hAnsi="宋体" w:cs="宋体"/>
                <w:kern w:val="0"/>
                <w:sz w:val="20"/>
                <w:szCs w:val="20"/>
              </w:rPr>
              <w:t>过                                                                                                                                       程</w:t>
            </w:r>
          </w:p>
        </w:tc>
        <w:tc>
          <w:tcPr>
            <w:tcW w:w="416"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s="宋体"/>
                <w:kern w:val="0"/>
                <w:sz w:val="20"/>
                <w:szCs w:val="20"/>
              </w:rPr>
            </w:pPr>
            <w:r>
              <w:rPr>
                <w:rFonts w:hint="eastAsia" w:ascii="宋体" w:hAnsi="宋体" w:cs="宋体"/>
                <w:kern w:val="0"/>
                <w:sz w:val="20"/>
                <w:szCs w:val="20"/>
              </w:rPr>
              <w:t>61</w:t>
            </w:r>
          </w:p>
        </w:tc>
        <w:tc>
          <w:tcPr>
            <w:tcW w:w="677" w:type="dxa"/>
            <w:vMerge w:val="restar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预算管理</w:t>
            </w: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①有内部财务管理制度、会计核算制度等管理制度，2分；</w:t>
            </w:r>
            <w:r>
              <w:rPr>
                <w:rFonts w:hint="eastAsia" w:ascii="宋体" w:hAnsi="宋体" w:cs="宋体"/>
                <w:kern w:val="0"/>
                <w:sz w:val="20"/>
                <w:szCs w:val="20"/>
              </w:rPr>
              <w:br w:type="textWrapping"/>
            </w:r>
            <w:r>
              <w:rPr>
                <w:rFonts w:hint="eastAsia" w:ascii="宋体" w:hAnsi="宋体" w:cs="宋体"/>
                <w:kern w:val="0"/>
                <w:sz w:val="20"/>
                <w:szCs w:val="20"/>
              </w:rPr>
              <w:t>②有本部门厉行节约制度,2分；</w:t>
            </w:r>
            <w:r>
              <w:rPr>
                <w:rFonts w:hint="eastAsia" w:ascii="宋体" w:hAnsi="宋体" w:cs="宋体"/>
                <w:kern w:val="0"/>
                <w:sz w:val="20"/>
                <w:szCs w:val="20"/>
              </w:rPr>
              <w:br w:type="textWrapping"/>
            </w:r>
            <w:r>
              <w:rPr>
                <w:rFonts w:hint="eastAsia" w:ascii="宋体" w:hAnsi="宋体" w:cs="宋体"/>
                <w:kern w:val="0"/>
                <w:sz w:val="20"/>
                <w:szCs w:val="20"/>
              </w:rPr>
              <w:t>③相关管理制度合法、合规、完整，2分；④相关管理制度得到有效执行，2分。</w:t>
            </w: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noWrap w:val="0"/>
            <w:vAlign w:val="center"/>
          </w:tcPr>
          <w:p>
            <w:pPr>
              <w:widowControl/>
              <w:jc w:val="left"/>
              <w:rPr>
                <w:sz w:val="18"/>
                <w:szCs w:val="18"/>
              </w:rPr>
            </w:pPr>
            <w:r>
              <w:rPr>
                <w:rFonts w:hint="eastAsia" w:ascii="宋体" w:hAnsi="宋体" w:cs="宋体"/>
                <w:kern w:val="0"/>
                <w:sz w:val="20"/>
                <w:szCs w:val="20"/>
              </w:rPr>
              <w:t>　</w:t>
            </w:r>
            <w:r>
              <w:rPr>
                <w:sz w:val="18"/>
                <w:szCs w:val="18"/>
              </w:rPr>
              <w:t>部门为加强预算管理、规范财务行为而制定的管理制度是否健全完整，用以反映和考核部门预算管理制度对完成主要职责或促进事业发展的保障情况。</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宋体" w:hAnsi="宋体" w:cs="宋体"/>
                <w:kern w:val="0"/>
                <w:sz w:val="20"/>
                <w:szCs w:val="20"/>
              </w:rPr>
              <w:br w:type="textWrapping"/>
            </w:r>
            <w:r>
              <w:rPr>
                <w:rFonts w:hint="eastAsia" w:ascii="宋体" w:hAnsi="宋体" w:cs="宋体"/>
                <w:kern w:val="0"/>
                <w:sz w:val="20"/>
                <w:szCs w:val="20"/>
              </w:rPr>
              <w:t>以上情况每出现一例不符合要求的扣1分，扣完为止。</w:t>
            </w:r>
          </w:p>
          <w:p>
            <w:pPr>
              <w:widowControl/>
              <w:jc w:val="left"/>
              <w:rPr>
                <w:rFonts w:hint="eastAsia" w:ascii="宋体" w:hAnsi="宋体" w:cs="宋体"/>
                <w:kern w:val="0"/>
                <w:sz w:val="20"/>
                <w:szCs w:val="20"/>
              </w:rPr>
            </w:pP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sz w:val="18"/>
                <w:szCs w:val="18"/>
              </w:rPr>
              <w:t>部门使用预算资金是否符合相关的预算财务管理制度的规定，用以反映和考核部门预算资金的规范运行情况。</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预决算信息是指与部门预算、执行、决算、监督、绩效等管理相关的信息。</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职责履行</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15" w:type="dxa"/>
            <w:tcBorders>
              <w:top w:val="nil"/>
              <w:left w:val="nil"/>
              <w:bottom w:val="nil"/>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根据绩效办201</w:t>
            </w:r>
            <w:r>
              <w:rPr>
                <w:rFonts w:hint="eastAsia" w:ascii="宋体" w:hAnsi="宋体" w:cs="宋体"/>
                <w:kern w:val="0"/>
                <w:sz w:val="20"/>
                <w:szCs w:val="20"/>
                <w:lang w:val="en-US" w:eastAsia="zh-CN"/>
              </w:rPr>
              <w:t>7</w:t>
            </w:r>
            <w:r>
              <w:rPr>
                <w:rFonts w:hint="eastAsia" w:ascii="宋体" w:hAnsi="宋体" w:cs="宋体"/>
                <w:kern w:val="0"/>
                <w:sz w:val="20"/>
                <w:szCs w:val="20"/>
              </w:rPr>
              <w:t>年对各部门为民办实事和部门重点工程与重点工作考核分数折算。</w:t>
            </w:r>
            <w:r>
              <w:rPr>
                <w:rFonts w:hint="eastAsia" w:ascii="宋体" w:hAnsi="宋体" w:cs="宋体"/>
                <w:kern w:val="0"/>
                <w:sz w:val="20"/>
                <w:szCs w:val="20"/>
              </w:rPr>
              <w:br w:type="textWrapping"/>
            </w:r>
            <w:r>
              <w:rPr>
                <w:rFonts w:hint="eastAsia" w:ascii="宋体" w:hAnsi="宋体" w:cs="宋体"/>
                <w:kern w:val="0"/>
                <w:sz w:val="20"/>
                <w:szCs w:val="20"/>
              </w:rPr>
              <w:t>该项得分=（绩效办对应部分考核得分/100）*8</w:t>
            </w:r>
          </w:p>
        </w:tc>
        <w:tc>
          <w:tcPr>
            <w:tcW w:w="325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履职 效益</w:t>
            </w: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75"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此两项指标为设置部门整体支出绩效评价指标时必须考虑的共性要素，可根据部门实际情况</w:t>
            </w:r>
            <w:r>
              <w:rPr>
                <w:rFonts w:hint="eastAsia" w:ascii="宋体" w:hAnsi="宋体" w:cs="宋体"/>
                <w:kern w:val="0"/>
                <w:sz w:val="20"/>
                <w:szCs w:val="20"/>
                <w:lang w:eastAsia="zh-CN"/>
              </w:rPr>
              <w:t>有选择地进行</w:t>
            </w:r>
            <w:r>
              <w:rPr>
                <w:rFonts w:hint="eastAsia" w:ascii="宋体" w:hAnsi="宋体" w:cs="宋体"/>
                <w:kern w:val="0"/>
                <w:sz w:val="20"/>
                <w:szCs w:val="20"/>
              </w:rPr>
              <w:t>设置，并将其细化为相应的个性化指标。</w:t>
            </w:r>
          </w:p>
        </w:tc>
        <w:tc>
          <w:tcPr>
            <w:tcW w:w="615" w:type="dxa"/>
            <w:tcBorders>
              <w:top w:val="nil"/>
              <w:left w:val="nil"/>
              <w:bottom w:val="nil"/>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20"/>
                <w:szCs w:val="20"/>
              </w:rPr>
            </w:pPr>
          </w:p>
        </w:tc>
        <w:tc>
          <w:tcPr>
            <w:tcW w:w="6275"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宋体" w:hAnsi="宋体" w:cs="宋体"/>
                <w:kern w:val="0"/>
                <w:sz w:val="20"/>
                <w:szCs w:val="20"/>
              </w:rPr>
            </w:pPr>
          </w:p>
        </w:tc>
        <w:tc>
          <w:tcPr>
            <w:tcW w:w="615" w:type="dxa"/>
            <w:tcBorders>
              <w:top w:val="nil"/>
              <w:left w:val="nil"/>
              <w:bottom w:val="nil"/>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促进部门改进文风会风，加强经费及资产管理，推动网上办事，提高行政效率，降低行政成本效果较好的计6分；一般3分；无效果或者效果不明显0分。</w:t>
            </w:r>
          </w:p>
        </w:tc>
        <w:tc>
          <w:tcPr>
            <w:tcW w:w="32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根据部门自评材料评定。</w:t>
            </w:r>
          </w:p>
        </w:tc>
        <w:tc>
          <w:tcPr>
            <w:tcW w:w="61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4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0"/>
                <w:szCs w:val="20"/>
              </w:rPr>
            </w:pPr>
          </w:p>
        </w:tc>
        <w:tc>
          <w:tcPr>
            <w:tcW w:w="101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0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90%（含）以上计6分；</w:t>
            </w:r>
            <w:r>
              <w:rPr>
                <w:rFonts w:hint="eastAsia" w:ascii="宋体" w:hAnsi="宋体" w:cs="宋体"/>
                <w:kern w:val="0"/>
                <w:sz w:val="20"/>
                <w:szCs w:val="20"/>
              </w:rPr>
              <w:br w:type="textWrapping"/>
            </w:r>
            <w:r>
              <w:rPr>
                <w:rFonts w:hint="eastAsia" w:ascii="宋体" w:hAnsi="宋体" w:cs="宋体"/>
                <w:kern w:val="0"/>
                <w:sz w:val="20"/>
                <w:szCs w:val="20"/>
              </w:rPr>
              <w:t>80%（含）-90%，计4分；</w:t>
            </w:r>
            <w:r>
              <w:rPr>
                <w:rFonts w:hint="eastAsia" w:ascii="宋体" w:hAnsi="宋体" w:cs="宋体"/>
                <w:kern w:val="0"/>
                <w:sz w:val="20"/>
                <w:szCs w:val="20"/>
              </w:rPr>
              <w:br w:type="textWrapping"/>
            </w:r>
            <w:r>
              <w:rPr>
                <w:rFonts w:hint="eastAsia" w:ascii="宋体" w:hAnsi="宋体" w:cs="宋体"/>
                <w:kern w:val="0"/>
                <w:sz w:val="20"/>
                <w:szCs w:val="20"/>
              </w:rPr>
              <w:t>70%（含）-80%，计2分；</w:t>
            </w:r>
            <w:r>
              <w:rPr>
                <w:rFonts w:hint="eastAsia" w:ascii="宋体" w:hAnsi="宋体" w:cs="宋体"/>
                <w:kern w:val="0"/>
                <w:sz w:val="20"/>
                <w:szCs w:val="20"/>
              </w:rPr>
              <w:br w:type="textWrapping"/>
            </w:r>
            <w:r>
              <w:rPr>
                <w:rFonts w:hint="eastAsia" w:ascii="宋体" w:hAnsi="宋体" w:cs="宋体"/>
                <w:kern w:val="0"/>
                <w:sz w:val="20"/>
                <w:szCs w:val="20"/>
              </w:rPr>
              <w:t>低于70%计0分。</w:t>
            </w:r>
          </w:p>
        </w:tc>
        <w:tc>
          <w:tcPr>
            <w:tcW w:w="325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社会公众或服务对象是指部门（单位）履行职责而影响到的部门、群体或个人，一般采取社会调查的方式。</w:t>
            </w:r>
          </w:p>
        </w:tc>
        <w:tc>
          <w:tcPr>
            <w:tcW w:w="61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bl>
    <w:p>
      <w:pPr>
        <w:widowControl/>
        <w:snapToGrid w:val="0"/>
        <w:spacing w:line="578" w:lineRule="atLeast"/>
        <w:ind w:firstLine="420"/>
        <w:jc w:val="left"/>
        <w:rPr>
          <w:rFonts w:hint="eastAsia" w:ascii="仿宋_GB2312" w:hAnsi="Arial" w:eastAsia="仿宋_GB2312" w:cs="Arial"/>
          <w:b/>
          <w:color w:val="000000"/>
          <w:kern w:val="0"/>
          <w:sz w:val="32"/>
          <w:szCs w:val="32"/>
        </w:rPr>
      </w:pPr>
    </w:p>
    <w:p>
      <w:pPr>
        <w:keepNext w:val="0"/>
        <w:keepLines w:val="0"/>
        <w:pageBreakBefore w:val="0"/>
        <w:widowControl w:val="0"/>
        <w:kinsoku/>
        <w:wordWrap/>
        <w:overflowPunct/>
        <w:topLinePunct w:val="0"/>
        <w:autoSpaceDE/>
        <w:autoSpaceDN/>
        <w:bidi w:val="0"/>
        <w:adjustRightInd/>
        <w:spacing w:afterAutospacing="0" w:line="560" w:lineRule="exact"/>
        <w:ind w:firstLine="5440" w:firstLineChars="1700"/>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afterAutospacing="0" w:line="560" w:lineRule="exact"/>
        <w:ind w:firstLine="5440" w:firstLineChars="1700"/>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afterAutospacing="0" w:line="560" w:lineRule="exact"/>
        <w:ind w:firstLine="5440" w:firstLineChars="1700"/>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afterAutospacing="0" w:line="560" w:lineRule="exact"/>
        <w:ind w:firstLine="5440" w:firstLineChars="1700"/>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afterAutospacing="0" w:line="560" w:lineRule="exact"/>
        <w:textAlignment w:val="auto"/>
        <w:rPr>
          <w:rFonts w:hint="eastAsia" w:eastAsia="仿宋_GB2312"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xMDE0OTAzY2E1ZWFmYjBjNzM4NTI3YzE1M2Y3MzkifQ=="/>
  </w:docVars>
  <w:rsids>
    <w:rsidRoot w:val="289754E4"/>
    <w:rsid w:val="19F4576D"/>
    <w:rsid w:val="21617820"/>
    <w:rsid w:val="289754E4"/>
    <w:rsid w:val="31682D74"/>
    <w:rsid w:val="4BE236B8"/>
    <w:rsid w:val="619E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4"/>
    <w:basedOn w:val="3"/>
    <w:next w:val="1"/>
    <w:qFormat/>
    <w:uiPriority w:val="39"/>
    <w:pPr>
      <w:spacing w:before="480" w:after="0" w:line="276" w:lineRule="auto"/>
      <w:jc w:val="center"/>
      <w:outlineLvl w:val="9"/>
    </w:pPr>
    <w:rPr>
      <w:rFonts w:ascii="仿宋" w:hAnsi="仿宋" w:eastAsia="仿宋"/>
      <w:b w:val="0"/>
      <w:color w:val="000000"/>
      <w:kern w:val="0"/>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1998</Words>
  <Characters>2120</Characters>
  <Lines>0</Lines>
  <Paragraphs>0</Paragraphs>
  <TotalTime>29</TotalTime>
  <ScaleCrop>false</ScaleCrop>
  <LinksUpToDate>false</LinksUpToDate>
  <CharactersWithSpaces>2431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2022-09-14T03:13:00Z</dcterms:created>
  <dc:creator>莹子</dc:creator>
  <cp:lastModifiedBy>Administrator</cp:lastModifiedBy>
  <dcterms:modified xsi:type="dcterms:W3CDTF">2022-09-26T08:48:30Z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5A2F8B920F8E4DF493757C01280135C9</vt:lpwstr>
  </property>
</Properties>
</file>