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5587D">
      <w:pPr>
        <w:keepNext w:val="0"/>
        <w:keepLines w:val="0"/>
        <w:pageBreakBefore w:val="0"/>
        <w:widowControl w:val="0"/>
        <w:kinsoku/>
        <w:overflowPunct/>
        <w:topLinePunct w:val="0"/>
        <w:autoSpaceDE/>
        <w:autoSpaceDN/>
        <w:bidi w:val="0"/>
        <w:spacing w:line="460" w:lineRule="exact"/>
        <w:ind w:right="0" w:rightChars="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BJDR-2022-01005</w:t>
      </w:r>
    </w:p>
    <w:p w14:paraId="61157092">
      <w:pPr>
        <w:keepNext w:val="0"/>
        <w:keepLines w:val="0"/>
        <w:pageBreakBefore w:val="0"/>
        <w:widowControl w:val="0"/>
        <w:kinsoku/>
        <w:overflowPunct/>
        <w:topLinePunct w:val="0"/>
        <w:autoSpaceDE/>
        <w:autoSpaceDN/>
        <w:bidi w:val="0"/>
        <w:spacing w:line="460" w:lineRule="exact"/>
        <w:ind w:left="-195" w:leftChars="-93" w:right="0" w:rightChars="0" w:firstLine="105" w:firstLineChars="50"/>
        <w:textAlignment w:val="auto"/>
      </w:pPr>
    </w:p>
    <w:p w14:paraId="464945BE">
      <w:pPr>
        <w:keepNext w:val="0"/>
        <w:keepLines w:val="0"/>
        <w:pageBreakBefore w:val="0"/>
        <w:widowControl w:val="0"/>
        <w:kinsoku/>
        <w:overflowPunct/>
        <w:topLinePunct w:val="0"/>
        <w:autoSpaceDE/>
        <w:autoSpaceDN/>
        <w:bidi w:val="0"/>
        <w:spacing w:line="460" w:lineRule="exact"/>
        <w:ind w:right="0" w:rightChars="0"/>
        <w:textAlignment w:val="auto"/>
      </w:pPr>
    </w:p>
    <w:p w14:paraId="6739E00F">
      <w:pPr>
        <w:keepNext w:val="0"/>
        <w:keepLines w:val="0"/>
        <w:pageBreakBefore w:val="0"/>
        <w:widowControl w:val="0"/>
        <w:kinsoku/>
        <w:overflowPunct/>
        <w:topLinePunct w:val="0"/>
        <w:autoSpaceDE/>
        <w:autoSpaceDN/>
        <w:bidi w:val="0"/>
        <w:spacing w:line="460" w:lineRule="exact"/>
        <w:ind w:right="0" w:rightChars="0"/>
        <w:textAlignment w:val="auto"/>
      </w:pPr>
    </w:p>
    <w:p w14:paraId="67041D6D">
      <w:pPr>
        <w:keepNext w:val="0"/>
        <w:keepLines w:val="0"/>
        <w:pageBreakBefore w:val="0"/>
        <w:widowControl w:val="0"/>
        <w:kinsoku/>
        <w:overflowPunct/>
        <w:topLinePunct w:val="0"/>
        <w:autoSpaceDE/>
        <w:autoSpaceDN/>
        <w:bidi w:val="0"/>
        <w:spacing w:line="460" w:lineRule="exact"/>
        <w:ind w:right="0" w:rightChars="0"/>
        <w:textAlignment w:val="auto"/>
      </w:pPr>
    </w:p>
    <w:p w14:paraId="4EA65923">
      <w:pPr>
        <w:keepNext w:val="0"/>
        <w:keepLines w:val="0"/>
        <w:pageBreakBefore w:val="0"/>
        <w:widowControl w:val="0"/>
        <w:kinsoku/>
        <w:overflowPunct/>
        <w:topLinePunct w:val="0"/>
        <w:autoSpaceDE/>
        <w:autoSpaceDN/>
        <w:bidi w:val="0"/>
        <w:spacing w:line="460" w:lineRule="exact"/>
        <w:ind w:right="0" w:rightChars="0"/>
        <w:textAlignment w:val="auto"/>
      </w:pPr>
    </w:p>
    <w:p w14:paraId="1E3B885A">
      <w:pPr>
        <w:keepNext w:val="0"/>
        <w:keepLines w:val="0"/>
        <w:pageBreakBefore w:val="0"/>
        <w:widowControl w:val="0"/>
        <w:kinsoku/>
        <w:overflowPunct/>
        <w:topLinePunct w:val="0"/>
        <w:autoSpaceDE/>
        <w:autoSpaceDN/>
        <w:bidi w:val="0"/>
        <w:spacing w:line="460" w:lineRule="exact"/>
        <w:ind w:right="0" w:rightChars="0"/>
        <w:textAlignment w:val="auto"/>
      </w:pPr>
    </w:p>
    <w:p w14:paraId="1BD27A3E">
      <w:pPr>
        <w:keepNext w:val="0"/>
        <w:keepLines w:val="0"/>
        <w:pageBreakBefore w:val="0"/>
        <w:widowControl w:val="0"/>
        <w:kinsoku/>
        <w:overflowPunct/>
        <w:topLinePunct w:val="0"/>
        <w:autoSpaceDE/>
        <w:autoSpaceDN/>
        <w:bidi w:val="0"/>
        <w:spacing w:line="400" w:lineRule="exact"/>
        <w:ind w:right="0" w:rightChars="0" w:firstLine="420" w:firstLineChars="200"/>
        <w:textAlignment w:val="auto"/>
      </w:pPr>
    </w:p>
    <w:p w14:paraId="6020C2FE">
      <w:pPr>
        <w:keepNext w:val="0"/>
        <w:keepLines w:val="0"/>
        <w:pageBreakBefore w:val="0"/>
        <w:widowControl w:val="0"/>
        <w:kinsoku/>
        <w:overflowPunct/>
        <w:topLinePunct w:val="0"/>
        <w:autoSpaceDE/>
        <w:autoSpaceDN/>
        <w:bidi w:val="0"/>
        <w:spacing w:line="420" w:lineRule="exact"/>
        <w:ind w:right="0" w:rightChars="0"/>
        <w:textAlignment w:val="auto"/>
      </w:pPr>
    </w:p>
    <w:p w14:paraId="33F68CD7">
      <w:pPr>
        <w:keepNext w:val="0"/>
        <w:keepLines w:val="0"/>
        <w:pageBreakBefore w:val="0"/>
        <w:widowControl w:val="0"/>
        <w:kinsoku/>
        <w:overflowPunct/>
        <w:topLinePunct w:val="0"/>
        <w:autoSpaceDE/>
        <w:autoSpaceDN/>
        <w:bidi w:val="0"/>
        <w:spacing w:line="580" w:lineRule="exact"/>
        <w:ind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t>保政办发〔202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26</w:t>
      </w:r>
      <w:r>
        <w:rPr>
          <w:rFonts w:hint="eastAsia" w:ascii="仿宋" w:hAnsi="仿宋" w:eastAsia="仿宋" w:cs="仿宋"/>
          <w:sz w:val="32"/>
          <w:szCs w:val="32"/>
        </w:rPr>
        <w:t>号</w:t>
      </w:r>
    </w:p>
    <w:p w14:paraId="3C5FB3F7">
      <w:pPr>
        <w:pStyle w:val="4"/>
        <w:keepNext w:val="0"/>
        <w:keepLines w:val="0"/>
        <w:pageBreakBefore w:val="0"/>
        <w:widowControl w:val="0"/>
        <w:kinsoku/>
        <w:overflowPunct/>
        <w:topLinePunct w:val="0"/>
        <w:autoSpaceDE/>
        <w:autoSpaceDN/>
        <w:bidi w:val="0"/>
        <w:spacing w:beforeAutospacing="0" w:afterAutospacing="0" w:line="560" w:lineRule="exact"/>
        <w:ind w:left="0" w:leftChars="0" w:right="0" w:rightChars="0"/>
        <w:jc w:val="center"/>
        <w:textAlignment w:val="auto"/>
        <w:rPr>
          <w:rFonts w:ascii="方正小标宋简体" w:eastAsia="方正小标宋简体"/>
          <w:b w:val="0"/>
          <w:bCs/>
          <w:color w:val="000000"/>
          <w:sz w:val="44"/>
          <w:szCs w:val="44"/>
        </w:rPr>
      </w:pPr>
    </w:p>
    <w:p w14:paraId="645F0F7C">
      <w:pPr>
        <w:pStyle w:val="4"/>
        <w:keepNext w:val="0"/>
        <w:keepLines w:val="0"/>
        <w:pageBreakBefore w:val="0"/>
        <w:widowControl w:val="0"/>
        <w:kinsoku/>
        <w:overflowPunct/>
        <w:topLinePunct w:val="0"/>
        <w:autoSpaceDE/>
        <w:autoSpaceDN/>
        <w:bidi w:val="0"/>
        <w:spacing w:beforeAutospacing="0" w:afterAutospacing="0" w:line="560" w:lineRule="exact"/>
        <w:ind w:left="0" w:leftChars="0" w:right="0" w:rightChars="0"/>
        <w:jc w:val="center"/>
        <w:textAlignment w:val="auto"/>
        <w:rPr>
          <w:rFonts w:ascii="方正小标宋简体" w:eastAsia="方正小标宋简体"/>
          <w:b w:val="0"/>
          <w:bCs/>
          <w:color w:val="000000"/>
          <w:sz w:val="44"/>
          <w:szCs w:val="44"/>
        </w:rPr>
      </w:pPr>
    </w:p>
    <w:p w14:paraId="1DC6837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 w:val="0"/>
          <w:bCs/>
          <w:color w:val="000000"/>
          <w:sz w:val="44"/>
          <w:szCs w:val="44"/>
        </w:rPr>
        <w:t>保靖县人民政府</w:t>
      </w:r>
      <w:r>
        <w:rPr>
          <w:rFonts w:hint="eastAsia" w:ascii="方正小标宋简体" w:hAnsi="方正小标宋简体" w:eastAsia="方正小标宋简体" w:cs="方正小标宋简体"/>
          <w:b w:val="0"/>
          <w:bCs/>
          <w:color w:val="000000"/>
          <w:sz w:val="44"/>
          <w:szCs w:val="44"/>
          <w:lang w:eastAsia="zh-CN"/>
        </w:rPr>
        <w:t>办公室</w:t>
      </w:r>
    </w:p>
    <w:p w14:paraId="4919A5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0"/>
          <w:sz w:val="44"/>
          <w:szCs w:val="44"/>
          <w:lang w:eastAsia="zh-CN"/>
        </w:rPr>
      </w:pPr>
      <w:bookmarkStart w:id="0" w:name="_GoBack"/>
      <w:r>
        <w:rPr>
          <w:rFonts w:hint="eastAsia" w:ascii="方正小标宋简体" w:hAnsi="方正小标宋简体" w:eastAsia="方正小标宋简体" w:cs="方正小标宋简体"/>
          <w:color w:val="auto"/>
          <w:spacing w:val="0"/>
          <w:sz w:val="44"/>
          <w:szCs w:val="44"/>
          <w:lang w:eastAsia="zh-CN"/>
        </w:rPr>
        <w:t>关于印发《</w:t>
      </w:r>
      <w:r>
        <w:rPr>
          <w:rFonts w:hint="default" w:ascii="方正小标宋简体" w:hAnsi="方正小标宋简体" w:eastAsia="方正小标宋简体" w:cs="方正小标宋简体"/>
          <w:color w:val="auto"/>
          <w:spacing w:val="0"/>
          <w:sz w:val="44"/>
          <w:szCs w:val="44"/>
          <w:lang w:eastAsia="zh-CN"/>
        </w:rPr>
        <w:t>保靖县优势产业发展风险补偿基金管理暂行办法</w:t>
      </w:r>
      <w:r>
        <w:rPr>
          <w:rFonts w:hint="eastAsia" w:ascii="方正小标宋简体" w:hAnsi="方正小标宋简体" w:eastAsia="方正小标宋简体" w:cs="方正小标宋简体"/>
          <w:color w:val="auto"/>
          <w:spacing w:val="0"/>
          <w:sz w:val="44"/>
          <w:szCs w:val="44"/>
          <w:lang w:eastAsia="zh-CN"/>
        </w:rPr>
        <w:t>》的通知</w:t>
      </w:r>
    </w:p>
    <w:bookmarkEnd w:id="0"/>
    <w:p w14:paraId="18C158E2">
      <w:pPr>
        <w:pStyle w:val="6"/>
        <w:rPr>
          <w:rFonts w:hint="eastAsia"/>
          <w:lang w:val="en-US" w:eastAsia="zh-CN"/>
        </w:rPr>
      </w:pPr>
    </w:p>
    <w:p w14:paraId="7D3ABC1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14:paraId="22613D1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乡镇人民政府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县直</w:t>
      </w:r>
      <w:r>
        <w:rPr>
          <w:rFonts w:hint="default" w:ascii="仿宋" w:hAnsi="仿宋" w:eastAsia="仿宋" w:cs="仿宋"/>
          <w:color w:val="auto"/>
          <w:sz w:val="32"/>
          <w:szCs w:val="32"/>
          <w:lang w:eastAsia="zh-CN"/>
        </w:rPr>
        <w:t>有</w:t>
      </w:r>
      <w:r>
        <w:rPr>
          <w:rFonts w:hint="eastAsia" w:ascii="仿宋" w:hAnsi="仿宋" w:eastAsia="仿宋" w:cs="仿宋"/>
          <w:color w:val="auto"/>
          <w:sz w:val="32"/>
          <w:szCs w:val="32"/>
          <w:lang w:eastAsia="zh-CN"/>
        </w:rPr>
        <w:t>关</w:t>
      </w:r>
      <w:r>
        <w:rPr>
          <w:rFonts w:hint="eastAsia" w:ascii="仿宋" w:hAnsi="仿宋" w:eastAsia="仿宋" w:cs="仿宋"/>
          <w:color w:val="auto"/>
          <w:sz w:val="32"/>
          <w:szCs w:val="32"/>
        </w:rPr>
        <w:t>单位：</w:t>
      </w:r>
    </w:p>
    <w:p w14:paraId="5CC5BF8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《保靖县优势产业发展风险补偿基金管理暂行办法》已经县人民政府同意，现印发给你们，请认真</w:t>
      </w:r>
      <w:r>
        <w:rPr>
          <w:rFonts w:hint="default" w:ascii="仿宋" w:hAnsi="仿宋" w:eastAsia="仿宋" w:cs="仿宋"/>
          <w:color w:val="auto"/>
          <w:sz w:val="32"/>
          <w:szCs w:val="32"/>
          <w:lang w:eastAsia="zh-CN"/>
        </w:rPr>
        <w:t>遵照执行</w:t>
      </w:r>
      <w:r>
        <w:rPr>
          <w:rFonts w:hint="eastAsia" w:ascii="仿宋" w:hAnsi="仿宋" w:eastAsia="仿宋" w:cs="仿宋"/>
          <w:color w:val="auto"/>
          <w:sz w:val="32"/>
          <w:szCs w:val="32"/>
          <w:lang w:eastAsia="zh-CN"/>
        </w:rPr>
        <w:t>。</w:t>
      </w:r>
    </w:p>
    <w:p w14:paraId="0179707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14:paraId="2C159C0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14:paraId="11A1B10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14:paraId="45AF6E39">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rightChars="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保靖县</w:t>
      </w:r>
      <w:r>
        <w:rPr>
          <w:rFonts w:hint="eastAsia" w:ascii="仿宋" w:hAnsi="仿宋" w:eastAsia="仿宋" w:cs="仿宋"/>
          <w:color w:val="auto"/>
          <w:sz w:val="32"/>
          <w:szCs w:val="32"/>
        </w:rPr>
        <w:t>人民政府办公室</w:t>
      </w:r>
      <w:r>
        <w:rPr>
          <w:rFonts w:hint="eastAsia" w:ascii="仿宋" w:hAnsi="仿宋" w:eastAsia="仿宋" w:cs="仿宋"/>
          <w:color w:val="auto"/>
          <w:sz w:val="32"/>
          <w:szCs w:val="32"/>
          <w:lang w:val="en-US" w:eastAsia="zh-CN"/>
        </w:rPr>
        <w:t xml:space="preserve">      </w:t>
      </w:r>
    </w:p>
    <w:p w14:paraId="247869C0">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rightChars="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p w14:paraId="32B84909">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i w:val="0"/>
          <w:caps w:val="0"/>
          <w:color w:val="auto"/>
          <w:spacing w:val="0"/>
          <w:w w:val="95"/>
          <w:kern w:val="0"/>
          <w:sz w:val="44"/>
          <w:szCs w:val="44"/>
          <w:highlight w:val="none"/>
          <w:u w:val="none" w:color="auto"/>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auto"/>
          <w:spacing w:val="0"/>
          <w:w w:val="95"/>
          <w:kern w:val="0"/>
          <w:sz w:val="44"/>
          <w:szCs w:val="44"/>
          <w:highlight w:val="none"/>
          <w:u w:val="none" w:color="auto"/>
          <w:shd w:val="clear" w:color="auto" w:fill="FFFFFF"/>
          <w:lang w:val="en-US" w:eastAsia="zh-CN" w:bidi="ar"/>
        </w:rPr>
        <w:t>保靖县优势产业发展风险补偿基金管理暂行办法</w:t>
      </w:r>
    </w:p>
    <w:p w14:paraId="237CB70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374C29BE">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第一章  总则</w:t>
      </w:r>
    </w:p>
    <w:p w14:paraId="6618A9D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第一条  为努力破解县域特色产业链新型经营主体融资难、融资贵问题，助推特色产业高质量发展</w:t>
      </w:r>
      <w:r>
        <w:rPr>
          <w:rStyle w:val="12"/>
          <w:rFonts w:hint="default" w:ascii="仿宋" w:hAnsi="仿宋" w:eastAsia="仿宋" w:cs="仿宋"/>
          <w:b w:val="0"/>
          <w:bCs/>
          <w:i w:val="0"/>
          <w:caps w:val="0"/>
          <w:color w:val="auto"/>
          <w:spacing w:val="0"/>
          <w:kern w:val="0"/>
          <w:sz w:val="32"/>
          <w:szCs w:val="32"/>
          <w:highlight w:val="none"/>
          <w:u w:val="none" w:color="auto"/>
          <w:shd w:val="clear" w:color="auto" w:fill="FFFFFF"/>
          <w:lang w:eastAsia="zh-CN" w:bidi="ar"/>
        </w:rPr>
        <w:t>和乡村产业振兴</w:t>
      </w: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，经县人民政府同意，设立“保靖县优势产业发展风险补偿基金”（以下简称“风险补偿基金”）。根据有关法律法规和政策规定，结合我县实际，特制定本办法。</w:t>
      </w:r>
    </w:p>
    <w:p w14:paraId="2B1625B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第二条  风险补偿基金的使用和管理遵循“专款专用、封闭运行、滚动使用、风险共担”的基本原则，确保基金使用规范、高效和安全。</w:t>
      </w:r>
    </w:p>
    <w:p w14:paraId="2897E343">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4279C433">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第二章</w:t>
      </w:r>
      <w:r>
        <w:rPr>
          <w:rFonts w:hint="default" w:ascii="黑体" w:hAnsi="黑体" w:eastAsia="黑体" w:cs="黑体"/>
          <w:color w:val="auto"/>
          <w:sz w:val="32"/>
          <w:szCs w:val="32"/>
          <w:highlight w:val="none"/>
          <w:u w:val="none" w:color="auto"/>
        </w:rPr>
        <w:t xml:space="preserve">  </w:t>
      </w:r>
      <w:r>
        <w:rPr>
          <w:rFonts w:hint="eastAsia" w:ascii="黑体" w:hAnsi="黑体" w:eastAsia="黑体" w:cs="黑体"/>
          <w:color w:val="auto"/>
          <w:sz w:val="32"/>
          <w:szCs w:val="32"/>
          <w:highlight w:val="none"/>
          <w:u w:val="none" w:color="auto"/>
        </w:rPr>
        <w:t>风险补偿基金的设立</w:t>
      </w:r>
    </w:p>
    <w:p w14:paraId="090DA9E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第三条  风险补偿基金由县财政出资设立，基金规模1000万元，后期根据风险补偿基金使用情况适时调整。风险补偿基金委托融资担保有限责任公司（以下简称“担保公司”）专户管理、专款专用，通过担保公司与县内银行合作发放担保贷款支持我县产业发展。</w:t>
      </w:r>
    </w:p>
    <w:p w14:paraId="544A8B2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第四条  当年风险补偿基金存量低于1000万元，或当相关贷款余额达到风险补偿基金账户存款余额的14倍时，应由县财政部门及时协调在30个工作日内补充风险补偿基金。风险补偿基金存放利息扣除相关税费后的收益用于补充风险补偿基金。</w:t>
      </w:r>
    </w:p>
    <w:p w14:paraId="741E0897">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第三章</w:t>
      </w:r>
      <w:r>
        <w:rPr>
          <w:rFonts w:hint="default" w:ascii="黑体" w:hAnsi="黑体" w:eastAsia="黑体" w:cs="黑体"/>
          <w:color w:val="auto"/>
          <w:sz w:val="32"/>
          <w:szCs w:val="32"/>
          <w:highlight w:val="none"/>
          <w:u w:val="none" w:color="auto"/>
        </w:rPr>
        <w:t xml:space="preserve">  </w:t>
      </w:r>
      <w:r>
        <w:rPr>
          <w:rFonts w:hint="eastAsia" w:ascii="黑体" w:hAnsi="黑体" w:eastAsia="黑体" w:cs="黑体"/>
          <w:color w:val="auto"/>
          <w:sz w:val="32"/>
          <w:szCs w:val="32"/>
          <w:highlight w:val="none"/>
          <w:u w:val="none" w:color="auto"/>
        </w:rPr>
        <w:t>风险补偿基金的管理</w:t>
      </w:r>
    </w:p>
    <w:p w14:paraId="5B37E48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第五条  成立保靖县产业发展风险补偿基金管理小组（以下简称“管理小组”），由县委常委、县人民政府常务副县长任组长，县财政局主要负责人任副组长，县政府工作部门、县茶叶办、保靖产业开发区管委会、县金融办为成员单位。管理小组办公室设在县财政局，由县财政局主要负责人任办公室主任。建立风险补偿基金联席会议制度，由管理小组办公室负责召集。</w:t>
      </w:r>
    </w:p>
    <w:p w14:paraId="3E8EC8C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第六条  风险补偿基金管理小组主要职责为：根据有关法律法规和政策，制定、审核、批准产业发展风险补偿基金管理制度；对风险补偿基金补偿业务进行指导、考核和监督；审议、批准风险补偿基金年度计划；审议、变更风险补偿基金规模。</w:t>
      </w:r>
    </w:p>
    <w:p w14:paraId="7C606CF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第七条  管理小组办公室主要职责为：负责风险补偿基金的日常管理，组织实施管理小组的决议；受理风险补偿基金的申请，牵头组织相关部门对申报材料进行审核；执行管理小组批准的年度计划，建立风险补偿基金台账；提请管理小组审议调整风险补偿基金规模；完成管理小组交办的其他工作。</w:t>
      </w:r>
    </w:p>
    <w:p w14:paraId="4AE612A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第八条  乡镇人民政府和县直行业主管部门主要职责为：协助评级授信、贷前调查、贷后管理、贷款回收和补偿事项审核等工作。</w:t>
      </w:r>
    </w:p>
    <w:p w14:paraId="2E2F458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第九条  县财政局主要职责为：负责风险补偿基金预算管理、拨付以及对风险补偿基金使用情况进行监督、检查。</w:t>
      </w:r>
    </w:p>
    <w:p w14:paraId="34C4048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第十条  合作银行主要职责为：信贷项目的调查、审查、贷后管理承担借款人不良贷款的追偿责任，减少风险补偿基金损失；对风险补偿基金账户进行监管。</w:t>
      </w:r>
    </w:p>
    <w:p w14:paraId="1BAFB117">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第十一条  担保公司主要职责为：对管理小组办公室推荐且合作银行审批通过的项目进行合规性审查，对合规性审查通过的项目贷款提供担保；对代偿项目按风险补偿基金承担的风险分担比例，从风险补偿基金账户划扣至担保公司账户。</w:t>
      </w:r>
    </w:p>
    <w:p w14:paraId="75E783E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第十二条  风险补偿基金由县财政局划转至担保公司在合作银行开设的“风险补偿基金”专户，实行专户储存、专账核算。账户内资金专项用于风险补偿，不得以调整、挪用、转移等形式用于其他方面。</w:t>
      </w:r>
    </w:p>
    <w:p w14:paraId="092948A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1E6BE8CC">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第四章</w:t>
      </w:r>
      <w:r>
        <w:rPr>
          <w:rFonts w:hint="default" w:ascii="黑体" w:hAnsi="黑体" w:eastAsia="黑体" w:cs="黑体"/>
          <w:color w:val="auto"/>
          <w:sz w:val="32"/>
          <w:szCs w:val="32"/>
          <w:highlight w:val="none"/>
          <w:u w:val="none" w:color="auto"/>
        </w:rPr>
        <w:t xml:space="preserve">  </w:t>
      </w:r>
      <w:r>
        <w:rPr>
          <w:rFonts w:hint="eastAsia" w:ascii="黑体" w:hAnsi="黑体" w:eastAsia="黑体" w:cs="黑体"/>
          <w:color w:val="auto"/>
          <w:sz w:val="32"/>
          <w:szCs w:val="32"/>
          <w:highlight w:val="none"/>
          <w:u w:val="none" w:color="auto"/>
        </w:rPr>
        <w:t>风险补偿基金的运作模式</w:t>
      </w:r>
    </w:p>
    <w:p w14:paraId="4D0A21F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第十三条  风险补偿基金实行“政银担企”运作模式，县财政局在合作银行存入风险补偿资金，设立资金池，通过风险补偿基金、担保公司、合作银行共同分担风险的方式，对我县特色产业链相关新型经营主体予以担保贷款支持。其中担保公司与县内合作银行之间的风险分担按照双方签订的“银担E贷”等批量业务进行贷款风险分担。</w:t>
      </w:r>
    </w:p>
    <w:p w14:paraId="6ACF5D8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第十四条  风险补偿基金最高放大倍数为14倍</w:t>
      </w:r>
      <w:r>
        <w:rPr>
          <w:rStyle w:val="12"/>
          <w:rFonts w:hint="default" w:ascii="仿宋" w:hAnsi="仿宋" w:eastAsia="仿宋" w:cs="仿宋"/>
          <w:b w:val="0"/>
          <w:bCs/>
          <w:i w:val="0"/>
          <w:caps w:val="0"/>
          <w:color w:val="auto"/>
          <w:spacing w:val="0"/>
          <w:kern w:val="0"/>
          <w:sz w:val="32"/>
          <w:szCs w:val="32"/>
          <w:highlight w:val="none"/>
          <w:u w:val="none" w:color="auto"/>
          <w:shd w:val="clear" w:color="auto" w:fill="FFFFFF"/>
          <w:lang w:eastAsia="zh-CN" w:bidi="ar"/>
        </w:rPr>
        <w:t>，</w:t>
      </w: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不低于5倍</w:t>
      </w:r>
      <w:r>
        <w:rPr>
          <w:rStyle w:val="12"/>
          <w:rFonts w:hint="default" w:ascii="仿宋" w:hAnsi="仿宋" w:eastAsia="仿宋" w:cs="仿宋"/>
          <w:b w:val="0"/>
          <w:bCs/>
          <w:i w:val="0"/>
          <w:caps w:val="0"/>
          <w:color w:val="auto"/>
          <w:spacing w:val="0"/>
          <w:kern w:val="0"/>
          <w:sz w:val="32"/>
          <w:szCs w:val="32"/>
          <w:highlight w:val="none"/>
          <w:u w:val="none" w:color="auto"/>
          <w:shd w:val="clear" w:color="auto" w:fill="FFFFFF"/>
          <w:lang w:eastAsia="zh-CN" w:bidi="ar"/>
        </w:rPr>
        <w:t>。</w:t>
      </w: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合作银行按照风险补偿基金资金池资金与贷款总金额不超过1:14比例，向我县特色产业链相关新型经营主体提供贷款支持，单户客户最高贷款金额不超过1000万元。</w:t>
      </w:r>
    </w:p>
    <w:p w14:paraId="17AD65E3">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第五章</w:t>
      </w:r>
      <w:r>
        <w:rPr>
          <w:rFonts w:hint="default" w:ascii="黑体" w:hAnsi="黑体" w:eastAsia="黑体" w:cs="黑体"/>
          <w:color w:val="auto"/>
          <w:sz w:val="32"/>
          <w:szCs w:val="32"/>
          <w:highlight w:val="none"/>
          <w:u w:val="none" w:color="auto"/>
        </w:rPr>
        <w:t xml:space="preserve">  </w:t>
      </w:r>
      <w:r>
        <w:rPr>
          <w:rFonts w:hint="eastAsia" w:ascii="黑体" w:hAnsi="黑体" w:eastAsia="黑体" w:cs="黑体"/>
          <w:color w:val="auto"/>
          <w:sz w:val="32"/>
          <w:szCs w:val="32"/>
          <w:highlight w:val="none"/>
          <w:u w:val="none" w:color="auto"/>
          <w:lang w:eastAsia="zh-CN"/>
        </w:rPr>
        <w:t>支持范围、贷款用途、融资成本、贷款期限</w:t>
      </w:r>
    </w:p>
    <w:p w14:paraId="50EAFCE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第十五条  风险补偿基金原则上用于我县符合国家产业政策导向和银行信贷政策的县域特色产业链相关新型经营主体(企业、项目)。贷款对象及条件：成立1年以上，正常运营的中小微企业、三农和战略性新兴产业市场主体；技术有优势、产品有市场、发展潜力较大、两年内无重大不良信用记录，未涉及民间融资和非法集资；符合国家相关产业政策、环境保护、规划、安全生产等“红线”要求，属装备、食品、电子、信息、</w:t>
      </w:r>
      <w:r>
        <w:rPr>
          <w:rStyle w:val="12"/>
          <w:rFonts w:hint="default" w:ascii="仿宋" w:hAnsi="仿宋" w:eastAsia="仿宋" w:cs="仿宋"/>
          <w:b w:val="0"/>
          <w:bCs/>
          <w:i w:val="0"/>
          <w:caps w:val="0"/>
          <w:color w:val="auto"/>
          <w:spacing w:val="0"/>
          <w:kern w:val="0"/>
          <w:sz w:val="32"/>
          <w:szCs w:val="32"/>
          <w:highlight w:val="none"/>
          <w:u w:val="none" w:color="auto"/>
          <w:shd w:val="clear" w:color="auto" w:fill="FFFFFF"/>
          <w:lang w:eastAsia="zh-CN" w:bidi="ar"/>
        </w:rPr>
        <w:t>生物制药、植物提取物、</w:t>
      </w: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农产品加工等优势产业，制造强省建设重点产业领域20个工业新兴优势产业链以及新材料、医药、节能环保等战略性新兴产业。重点支持高新技术企业、科技型中小企业、上市后备资源库企业、供应链金融核心企业、小巨人企业等。重点向纳税大户、有税收贡献及税收增长潜力的企业和项目倾斜。客户准入权由管理小组办公室负责，担保公司及合作银行实行推荐名单制放贷。其他产业相关经济主体确需使用风险补偿基金的，由管理小组审议确定。</w:t>
      </w:r>
    </w:p>
    <w:p w14:paraId="5E1AFDE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第十六条  贷款必须用于本企业生产经营，主要用于借款人生产经营流动资金和固定资产购置（机器设备购置）。重点支持项目贷款需根据项目情况一事一议。</w:t>
      </w:r>
    </w:p>
    <w:p w14:paraId="2EF3C72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第十七条  贷款利率根据贷款人实际情况由合作银行测算，原则上不高于合作银行同期自有资金贷款加权平均利率，对重点支持产业、行业应给予政策利率优惠。</w:t>
      </w:r>
    </w:p>
    <w:p w14:paraId="2C62DCD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担保费按担保金额不高于1%的比例收取，由贷款主体按照担保公司的相关规定缴纳。</w:t>
      </w:r>
    </w:p>
    <w:p w14:paraId="50C9EC33">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 xml:space="preserve"> 流动资金贷款期限原则上为一年，最长不超过三年；一般固定资产贷款最长不超过三年；项目贷款的期限根据项目实际情况合理确定，超过一年期贷款实行分期还款，原则上每年还款次数不少于二次。</w:t>
      </w:r>
    </w:p>
    <w:p w14:paraId="59A9808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712E39FB">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第六章</w:t>
      </w:r>
      <w:r>
        <w:rPr>
          <w:rFonts w:hint="default" w:ascii="黑体" w:hAnsi="黑体" w:eastAsia="黑体" w:cs="黑体"/>
          <w:color w:val="auto"/>
          <w:sz w:val="32"/>
          <w:szCs w:val="32"/>
          <w:highlight w:val="none"/>
          <w:u w:val="none" w:color="auto"/>
        </w:rPr>
        <w:t xml:space="preserve">  </w:t>
      </w:r>
      <w:r>
        <w:rPr>
          <w:rFonts w:hint="eastAsia" w:ascii="黑体" w:hAnsi="黑体" w:eastAsia="黑体" w:cs="黑体"/>
          <w:color w:val="auto"/>
          <w:sz w:val="32"/>
          <w:szCs w:val="32"/>
          <w:highlight w:val="none"/>
          <w:u w:val="none" w:color="auto"/>
        </w:rPr>
        <w:t>业务流程</w:t>
      </w:r>
    </w:p>
    <w:p w14:paraId="78F9650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第十九条  贷款申请流程</w:t>
      </w:r>
    </w:p>
    <w:p w14:paraId="37924C7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（一）贷款申请企业向管理小组办公室书面申请贷款担保，管理小组办公室会同行业主管部门及合作银行进行尽职调查初审，符合条件的报管理小组审定，不符合要求的予以退回。</w:t>
      </w:r>
    </w:p>
    <w:p w14:paraId="1509040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（二）管理小组复审通过后，由管理小组出具《产业发展风险补偿基金使用通知书》，管理小组办公室向担保公司及合作银行出具《项目推荐函》。</w:t>
      </w:r>
    </w:p>
    <w:p w14:paraId="69A1450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第二十条  贷款受理流程</w:t>
      </w:r>
    </w:p>
    <w:p w14:paraId="4743FAB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（一）合作银行和担保公司收到《项目推荐函》后,按内部要求独立进行贷款审查和审批,审批通过后通知贷款人签订《贷款合同》《委托担保协议》等相关法律文书;审批不符合信贷准入的,予以退回。</w:t>
      </w:r>
    </w:p>
    <w:p w14:paraId="4C8E152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（二）借款人达到所有放款条件后，由担保公司提供担保，合作银行依据合同发放贷款。</w:t>
      </w:r>
    </w:p>
    <w:p w14:paraId="0E217B5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第二十一条  贷后管理流程</w:t>
      </w:r>
    </w:p>
    <w:p w14:paraId="5E1383F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一）贷款企业每个季度须向管理小组办公室、合作银行及担保公司提供相关纸质经营数据（不限于企业经营情况、会计财务报表、纳税信息等），管理小组办公室、合作银行及担保公司按照内部管理规定履行贷后管理职责，每半年召开一次业务联席会议，分析基金及贷款运行情况。如发现风险应及时召开风险处置会议，并将形成的风险处置纪要及处置化解方</w:t>
      </w:r>
      <w:r>
        <w:rPr>
          <w:rStyle w:val="12"/>
          <w:rFonts w:hint="default" w:ascii="仿宋" w:hAnsi="仿宋" w:eastAsia="仿宋" w:cs="仿宋"/>
          <w:b w:val="0"/>
          <w:bCs/>
          <w:i w:val="0"/>
          <w:caps w:val="0"/>
          <w:color w:val="auto"/>
          <w:spacing w:val="0"/>
          <w:kern w:val="0"/>
          <w:sz w:val="32"/>
          <w:szCs w:val="32"/>
          <w:highlight w:val="none"/>
          <w:u w:val="none" w:color="auto"/>
          <w:shd w:val="clear" w:color="auto" w:fill="FFFFFF"/>
          <w:lang w:eastAsia="zh-CN" w:bidi="ar"/>
        </w:rPr>
        <w:t>案</w:t>
      </w: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通报管理小组。</w:t>
      </w:r>
    </w:p>
    <w:p w14:paraId="32A587D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（二）借款人全部归还贷款本息后，合作银行在5个工作日内将本金偿还凭证复印件送至管理小组办公室和担保公司。</w:t>
      </w:r>
    </w:p>
    <w:p w14:paraId="5F7E01A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096FF6C9">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第七章  贷款风险分担比例、代偿程序、债权追偿</w:t>
      </w:r>
    </w:p>
    <w:p w14:paraId="5C81F45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第二十二条  三方对贷款风险按比例进行风险分担，以合作银行出具的风险贷款本息数据为准，风险贷款分担比例为：风险补偿基金分担风险比例30%、剩余70%风险由担保公司、合作银行共同承担。</w:t>
      </w:r>
    </w:p>
    <w:p w14:paraId="211CCC1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第二十三条  当相关贷款需要代偿时，由担保公司根据与合作银行签订的《合作协议》进行代偿，担保公司代偿后5个工作日内将风险补偿基金应承担的风险责任部分资金划转至担保公司账户，用于基金风险补偿，并在划转后3个工作日内向管理小组办公室报备。</w:t>
      </w:r>
    </w:p>
    <w:p w14:paraId="150AB1A3">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第二十四条  贷款代偿后管理小组办公室协同合作银行开展诉讼、追偿等法律事务,追偿收回的资金在扣除相关追偿费用后的净值,按风险分担比例偿还担保公司、合作银行和风险补偿基金。风险补偿基金所得清偿款归还至风险补偿基金账户。</w:t>
      </w:r>
    </w:p>
    <w:p w14:paraId="7A46A6F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5CEC7AD8">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第八章  风险防控措施</w:t>
      </w:r>
    </w:p>
    <w:p w14:paraId="5456316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第二十五条  合作银行、管理小组办公室建立动态风险预警信息互通机制，监控贷款对象预警信息,对借款人在贷款资金使用、还本付息等方面出现的问题,应及时沟通衔接,采取防范措施,加强贷后管理和风险控制。</w:t>
      </w:r>
    </w:p>
    <w:p w14:paraId="50C5710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第二十六条  管理小组办公室自觉接受管理小组、风险补偿基金出资单位的监督管理,当风险补偿基金担保贷款出现风险预警时,及时向管理小组提交相关评估报告,并对潜在风险采取相应措施。对逾期不能归还的贷款提出追偿方案,并向管理小组办公室及时反馈。</w:t>
      </w:r>
    </w:p>
    <w:p w14:paraId="5CE0AF0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第二十七条  当风险补偿基金担保贷款不良率达到担保贷款总额的5%以上时，启动新贷款发放叫停机制，待风险补偿基金担保贷款不良率控制在担保贷款总额的5%以内时再重新启动运行。因扣划等原因引起风险补偿基金账户余额不足时，管理小组办公室应通知县财政部门在30个工作日内补足账户资金。资金到账之前，担保公司及合作银行可以暂停发放新的贷款。</w:t>
      </w:r>
    </w:p>
    <w:p w14:paraId="25F0851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2E7B6E90">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第九章  监督检查</w:t>
      </w:r>
    </w:p>
    <w:p w14:paraId="03B41FE3">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第二十八条  风险补偿基金设立专用账户，实行封闭管理。出资单位和使用单位委托相关机构每年对风险补偿基金运行情况进行专项审计。</w:t>
      </w:r>
    </w:p>
    <w:p w14:paraId="17B83CE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第二十九条  任何一方或多方骗贷、骗担、套取风险补偿基金的，一经查实，承担相应经济和法律责任。</w:t>
      </w:r>
    </w:p>
    <w:p w14:paraId="6AE27EA7">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第三十条  风险补偿基金接受审计、财政部门监督检查。</w:t>
      </w:r>
    </w:p>
    <w:p w14:paraId="1FDE2194">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lang w:val="en-US" w:eastAsia="zh-CN"/>
        </w:rPr>
      </w:pPr>
    </w:p>
    <w:p w14:paraId="448AA61B">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第十章  附则</w:t>
      </w:r>
    </w:p>
    <w:p w14:paraId="0434DD8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第三十一条  本办法可根据政策及市场需求变化情况,经管理小组讨论报县人民政府批准后修改完善或失效。本办法失效时,风险补偿基金担保贷款风险分担责任解除后，方可对风险补偿基金按原渠道划转退回县财政部门。</w:t>
      </w:r>
    </w:p>
    <w:p w14:paraId="76D3A4B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第三十二条  本办法由县财政局负责解释。</w:t>
      </w:r>
    </w:p>
    <w:p w14:paraId="133A36C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第三十三条  本办法自发布之日起施行。</w:t>
      </w:r>
    </w:p>
    <w:p w14:paraId="5E3342B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581A1F0B">
      <w:pPr>
        <w:pStyle w:val="2"/>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5A7FC716">
      <w:pP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1B8CB413">
      <w:pPr>
        <w:pStyle w:val="2"/>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567DC4FB">
      <w:pP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56555B39">
      <w:pPr>
        <w:pStyle w:val="2"/>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17205DBE">
      <w:pP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0D03D33D">
      <w:pPr>
        <w:pStyle w:val="2"/>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3D3B3D31">
      <w:pP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4C27FC49">
      <w:pPr>
        <w:pStyle w:val="2"/>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4FF07601">
      <w:pP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0D02C389">
      <w:pPr>
        <w:pStyle w:val="2"/>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618133EC">
      <w:pP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099E0739">
      <w:pPr>
        <w:pStyle w:val="2"/>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146870B7">
      <w:pP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7C11722F">
      <w:pPr>
        <w:pStyle w:val="2"/>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01441C96">
      <w:pP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3CB3BF62">
      <w:pPr>
        <w:pStyle w:val="2"/>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580CEBCB">
      <w:pP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2339CB2B">
      <w:pPr>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2EC9BE9E">
      <w:pPr>
        <w:pStyle w:val="2"/>
        <w:keepNext w:val="0"/>
        <w:keepLines w:val="0"/>
        <w:pageBreakBefore w:val="0"/>
        <w:widowControl w:val="0"/>
        <w:kinsoku/>
        <w:wordWrap/>
        <w:overflowPunct/>
        <w:topLinePunct w:val="0"/>
        <w:autoSpaceDE/>
        <w:autoSpaceDN/>
        <w:bidi w:val="0"/>
        <w:adjustRightInd/>
        <w:snapToGrid/>
        <w:spacing w:after="0" w:line="400" w:lineRule="exact"/>
        <w:ind w:left="420" w:leftChars="200" w:right="0" w:rightChars="0" w:firstLine="640" w:firstLineChars="200"/>
        <w:jc w:val="both"/>
        <w:textAlignment w:val="auto"/>
        <w:outlineLvl w:val="9"/>
        <w:rPr>
          <w:rStyle w:val="12"/>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14:paraId="74FC3BD9">
      <w:pPr>
        <w:rPr>
          <w:rFonts w:hint="eastAsia"/>
          <w:lang w:val="en-US" w:eastAsia="zh-CN"/>
        </w:rPr>
      </w:pPr>
    </w:p>
    <w:p w14:paraId="265B746D">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p>
    <w:p w14:paraId="2EF00F6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p>
    <w:p w14:paraId="1EABCBDD">
      <w:pPr>
        <w:keepNext w:val="0"/>
        <w:keepLines w:val="0"/>
        <w:pageBreakBefore w:val="0"/>
        <w:widowControl w:val="0"/>
        <w:kinsoku/>
        <w:overflowPunct/>
        <w:topLinePunct w:val="0"/>
        <w:autoSpaceDE/>
        <w:autoSpaceDN/>
        <w:bidi w:val="0"/>
        <w:spacing w:line="560" w:lineRule="exact"/>
        <w:ind w:right="0" w:rightChars="0"/>
        <w:jc w:val="left"/>
        <w:textAlignment w:val="auto"/>
      </w:pPr>
      <w:r>
        <w:t xml:space="preserve">                     </w:t>
      </w:r>
      <w:r>
        <w:rPr>
          <w:rFonts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238125</wp:posOffset>
                </wp:positionV>
                <wp:extent cx="5579745" cy="0"/>
                <wp:effectExtent l="0" t="0" r="0" b="0"/>
                <wp:wrapNone/>
                <wp:docPr id="1" name="直线 2"/>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8.75pt;height:0pt;width:439.35pt;z-index:251659264;mso-width-relative:page;mso-height-relative:page;" filled="f" stroked="t" coordsize="21600,21600" o:gfxdata="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9Nj&#10;S9QAAAAGAQAADwAAAAAAAAABACAAAAAiAAAAZHJzL2Rvd25yZXYueG1sUEsBAhQAFAAAAAgAh07i&#10;QNjN6JPtAQAA6QMAAA4AAAAAAAAAAQAgAAAAIwEAAGRycy9lMm9Eb2MueG1sUEsFBgAAAAAGAAYA&#10;WQEAAIIFAAAAAA==&#10;">
                <v:fill on="f" focussize="0,0"/>
                <v:stroke color="#000000" joinstyle="round"/>
                <v:imagedata o:title=""/>
                <o:lock v:ext="edit" aspectratio="f"/>
              </v:line>
            </w:pict>
          </mc:Fallback>
        </mc:AlternateContent>
      </w:r>
    </w:p>
    <w:p w14:paraId="02697C6D">
      <w:pPr>
        <w:keepNext w:val="0"/>
        <w:keepLines w:val="0"/>
        <w:pageBreakBefore w:val="0"/>
        <w:widowControl w:val="0"/>
        <w:kinsoku/>
        <w:overflowPunct/>
        <w:topLinePunct w:val="0"/>
        <w:autoSpaceDE/>
        <w:autoSpaceDN/>
        <w:bidi w:val="0"/>
        <w:spacing w:line="400" w:lineRule="exact"/>
        <w:ind w:right="0" w:rightChars="0" w:firstLine="280" w:firstLineChars="100"/>
        <w:textAlignment w:val="auto"/>
        <w:rPr>
          <w:rFonts w:ascii="仿宋" w:hAnsi="仿宋" w:eastAsia="仿宋"/>
          <w:sz w:val="28"/>
          <w:szCs w:val="28"/>
        </w:rPr>
      </w:pPr>
      <w:r>
        <w:rPr>
          <w:rFonts w:ascii="仿宋" w:hAnsi="仿宋" w:eastAsia="仿宋"/>
          <w:sz w:val="28"/>
          <w:szCs w:val="28"/>
        </w:rPr>
        <w:t>抄送：县委各部门，县人武部。</w:t>
      </w:r>
    </w:p>
    <w:p w14:paraId="15EA5163">
      <w:pPr>
        <w:keepNext w:val="0"/>
        <w:keepLines w:val="0"/>
        <w:pageBreakBefore w:val="0"/>
        <w:widowControl w:val="0"/>
        <w:kinsoku/>
        <w:overflowPunct/>
        <w:topLinePunct w:val="0"/>
        <w:autoSpaceDE/>
        <w:autoSpaceDN/>
        <w:bidi w:val="0"/>
        <w:spacing w:line="400" w:lineRule="exact"/>
        <w:ind w:right="0" w:rightChars="0" w:firstLine="1120" w:firstLineChars="400"/>
        <w:textAlignment w:val="auto"/>
        <w:rPr>
          <w:rFonts w:ascii="仿宋" w:hAnsi="仿宋" w:eastAsia="仿宋"/>
          <w:sz w:val="28"/>
          <w:szCs w:val="28"/>
        </w:rPr>
      </w:pPr>
      <w:r>
        <w:rPr>
          <w:rFonts w:ascii="仿宋" w:hAnsi="仿宋" w:eastAsia="仿宋"/>
          <w:sz w:val="28"/>
          <w:szCs w:val="28"/>
        </w:rPr>
        <w:t>县人大办，县政协办，县法院，县检察院。</w:t>
      </w:r>
    </w:p>
    <w:p w14:paraId="184E174B">
      <w:pPr>
        <w:keepNext w:val="0"/>
        <w:keepLines w:val="0"/>
        <w:pageBreakBefore w:val="0"/>
        <w:widowControl w:val="0"/>
        <w:kinsoku/>
        <w:overflowPunct/>
        <w:topLinePunct w:val="0"/>
        <w:autoSpaceDE/>
        <w:autoSpaceDN/>
        <w:bidi w:val="0"/>
        <w:spacing w:line="400" w:lineRule="exact"/>
        <w:ind w:right="0" w:rightChars="0" w:firstLine="1120" w:firstLineChars="400"/>
        <w:textAlignment w:val="auto"/>
        <w:rPr>
          <w:rFonts w:ascii="仿宋" w:hAnsi="仿宋" w:eastAsia="仿宋"/>
          <w:sz w:val="28"/>
          <w:szCs w:val="28"/>
        </w:rPr>
      </w:pPr>
      <w:r>
        <w:rPr>
          <w:rFonts w:ascii="仿宋" w:hAnsi="仿宋" w:eastAsia="仿宋"/>
          <w:sz w:val="28"/>
          <w:szCs w:val="28"/>
        </w:rPr>
        <w:t>县工商联。</w:t>
      </w:r>
    </w:p>
    <w:p w14:paraId="350DCFF4">
      <w:pPr>
        <w:keepNext w:val="0"/>
        <w:keepLines w:val="0"/>
        <w:pageBreakBefore w:val="0"/>
        <w:widowControl w:val="0"/>
        <w:kinsoku/>
        <w:overflowPunct/>
        <w:topLinePunct w:val="0"/>
        <w:autoSpaceDE/>
        <w:autoSpaceDN/>
        <w:bidi w:val="0"/>
        <w:spacing w:line="560" w:lineRule="exact"/>
        <w:ind w:right="0" w:rightChars="0"/>
        <w:textAlignment w:val="auto"/>
        <w:rPr>
          <w:rFonts w:hint="eastAsia" w:ascii="Times New Roman" w:hAnsi="Times New Roman" w:eastAsia="仿宋_GB2312" w:cs="Times New Roman"/>
          <w:sz w:val="32"/>
          <w:szCs w:val="32"/>
          <w:lang w:val="en-US" w:eastAsia="zh-CN"/>
        </w:rPr>
      </w:pPr>
      <w:r>
        <w:rPr>
          <w:rFonts w:hint="eastAsia" w:ascii="仿宋" w:hAnsi="仿宋" w:eastAsia="仿宋"/>
          <w:sz w:val="28"/>
          <w:szCs w:val="28"/>
          <w:lang w:val="en-US" w:eastAsia="zh-CN"/>
        </w:rPr>
        <w:t xml:space="preserve">  </w:t>
      </w:r>
      <w:r>
        <w:rPr>
          <w:rFonts w:ascii="仿宋" w:hAnsi="仿宋" w:eastAsia="仿宋"/>
          <w:sz w:val="28"/>
          <w:szCs w:val="28"/>
        </w:rPr>
        <w:t xml:space="preserve">保靖县人民政府办公室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lang w:val="en-US" w:eastAsia="zh-CN"/>
        </w:rPr>
        <w:t>5</w:t>
      </w:r>
      <w:r>
        <w:rPr>
          <w:rFonts w:ascii="仿宋" w:hAnsi="仿宋" w:eastAsia="仿宋"/>
          <w:sz w:val="28"/>
          <w:szCs w:val="28"/>
        </w:rPr>
        <w:t>月</w:t>
      </w:r>
      <w:r>
        <w:rPr>
          <w:rFonts w:hint="eastAsia" w:ascii="仿宋" w:hAnsi="仿宋" w:eastAsia="仿宋"/>
          <w:sz w:val="28"/>
          <w:szCs w:val="28"/>
          <w:lang w:val="en-US" w:eastAsia="zh-CN"/>
        </w:rPr>
        <w:t>12</w:t>
      </w:r>
      <w:r>
        <w:rPr>
          <w:rFonts w:ascii="仿宋" w:hAnsi="仿宋" w:eastAsia="仿宋"/>
          <w:sz w:val="28"/>
          <w:szCs w:val="28"/>
        </w:rPr>
        <w:t>日印发</w:t>
      </w:r>
      <w:r>
        <w:rPr>
          <w:rFonts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44450</wp:posOffset>
                </wp:positionV>
                <wp:extent cx="5579745" cy="0"/>
                <wp:effectExtent l="0" t="0" r="0" b="0"/>
                <wp:wrapNone/>
                <wp:docPr id="3" name="直线 3"/>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15pt;margin-top:3.5pt;height:0pt;width:439.35pt;z-index:251661312;mso-width-relative:page;mso-height-relative:page;" filled="f" stroked="t" coordsize="21600,21600" o:gfxdata="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NURI&#10;0wAAAAQBAAAPAAAAAAAAAAEAIAAAACIAAABkcnMvZG93bnJldi54bWxQSwECFAAUAAAACACHTuJA&#10;jTf42u0BAADpAwAADgAAAAAAAAABACAAAAAiAQAAZHJzL2Uyb0RvYy54bWxQSwUGAAAAAAYABgBZ&#10;AQAAgQUAAAAA&#10;">
                <v:fill on="f" focussize="0,0"/>
                <v:stroke color="#000000" joinstyle="round"/>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434340</wp:posOffset>
                </wp:positionV>
                <wp:extent cx="5579745" cy="0"/>
                <wp:effectExtent l="0" t="0" r="0" b="0"/>
                <wp:wrapNone/>
                <wp:docPr id="2" name="直线 4"/>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34.2pt;height:0pt;width:439.35pt;z-index:251660288;mso-width-relative:page;mso-height-relative:page;" filled="f" stroked="t" coordsize="21600,21600" o:gfxdata="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rTh&#10;xtQAAAAGAQAADwAAAAAAAAABACAAAAAiAAAAZHJzL2Rvd25yZXYueG1sUEsBAhQAFAAAAAgAh07i&#10;QMKCj7DtAQAA6QMAAA4AAAAAAAAAAQAgAAAAIwEAAGRycy9lMm9Eb2MueG1sUEsFBgAAAAAGAAYA&#10;WQEAAIIFAAAAAA==&#10;">
                <v:fill on="f" focussize="0,0"/>
                <v:stroke color="#000000" joinstyle="round"/>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612" w:gutter="0"/>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4B4E5">
    <w:pPr>
      <w:pStyle w:val="7"/>
      <w:wordWrap w:val="0"/>
      <w:jc w:val="right"/>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1F286">
    <w:pPr>
      <w:pStyle w:val="7"/>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1BDC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F9A8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8E37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F5E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64013"/>
    <w:multiLevelType w:val="singleLevel"/>
    <w:tmpl w:val="AAF64013"/>
    <w:lvl w:ilvl="0" w:tentative="0">
      <w:start w:val="1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86C64"/>
    <w:rsid w:val="01F665A4"/>
    <w:rsid w:val="035B751F"/>
    <w:rsid w:val="064E336B"/>
    <w:rsid w:val="07C02047"/>
    <w:rsid w:val="08EE3671"/>
    <w:rsid w:val="09AB2883"/>
    <w:rsid w:val="0A122902"/>
    <w:rsid w:val="0A570314"/>
    <w:rsid w:val="0AD81455"/>
    <w:rsid w:val="0AF02C43"/>
    <w:rsid w:val="0B957346"/>
    <w:rsid w:val="0DCE6B40"/>
    <w:rsid w:val="0ED4462A"/>
    <w:rsid w:val="10E943BC"/>
    <w:rsid w:val="116C6D9B"/>
    <w:rsid w:val="12597320"/>
    <w:rsid w:val="14EA24B1"/>
    <w:rsid w:val="15284D87"/>
    <w:rsid w:val="162E0AC3"/>
    <w:rsid w:val="165E3CEF"/>
    <w:rsid w:val="176C18A3"/>
    <w:rsid w:val="17F04282"/>
    <w:rsid w:val="180C273E"/>
    <w:rsid w:val="1A18361C"/>
    <w:rsid w:val="1A444411"/>
    <w:rsid w:val="1B632FBD"/>
    <w:rsid w:val="1C5648D0"/>
    <w:rsid w:val="1DBE097F"/>
    <w:rsid w:val="203465F6"/>
    <w:rsid w:val="20AA343C"/>
    <w:rsid w:val="21340396"/>
    <w:rsid w:val="22596EC8"/>
    <w:rsid w:val="234E00AF"/>
    <w:rsid w:val="24072473"/>
    <w:rsid w:val="24701985"/>
    <w:rsid w:val="256718FC"/>
    <w:rsid w:val="25706A02"/>
    <w:rsid w:val="25E141E0"/>
    <w:rsid w:val="26E36C7D"/>
    <w:rsid w:val="274719E5"/>
    <w:rsid w:val="27F7788A"/>
    <w:rsid w:val="2A21651D"/>
    <w:rsid w:val="2AF27EBA"/>
    <w:rsid w:val="2B2838DB"/>
    <w:rsid w:val="2C3F712F"/>
    <w:rsid w:val="2C6721E1"/>
    <w:rsid w:val="2CEF2903"/>
    <w:rsid w:val="2DBD47AF"/>
    <w:rsid w:val="2EBF4557"/>
    <w:rsid w:val="30EE1123"/>
    <w:rsid w:val="31093867"/>
    <w:rsid w:val="32931F82"/>
    <w:rsid w:val="32DC56D7"/>
    <w:rsid w:val="34272982"/>
    <w:rsid w:val="34535EB3"/>
    <w:rsid w:val="35C97A69"/>
    <w:rsid w:val="37E6F9A7"/>
    <w:rsid w:val="38042FDA"/>
    <w:rsid w:val="39893797"/>
    <w:rsid w:val="39DF3CFF"/>
    <w:rsid w:val="3A15111A"/>
    <w:rsid w:val="3B7A5F4B"/>
    <w:rsid w:val="3CDB2DAC"/>
    <w:rsid w:val="3EBE0387"/>
    <w:rsid w:val="3FFE3A54"/>
    <w:rsid w:val="43884ABF"/>
    <w:rsid w:val="451C5E07"/>
    <w:rsid w:val="47D54DE8"/>
    <w:rsid w:val="4884619D"/>
    <w:rsid w:val="49974071"/>
    <w:rsid w:val="4ABA40F8"/>
    <w:rsid w:val="4E4D5283"/>
    <w:rsid w:val="4E9B5FEF"/>
    <w:rsid w:val="4FFEA2E6"/>
    <w:rsid w:val="5106562F"/>
    <w:rsid w:val="53424C8B"/>
    <w:rsid w:val="5502745C"/>
    <w:rsid w:val="55D1679A"/>
    <w:rsid w:val="55D77223"/>
    <w:rsid w:val="5813309A"/>
    <w:rsid w:val="584414A5"/>
    <w:rsid w:val="597E4543"/>
    <w:rsid w:val="59A04E4D"/>
    <w:rsid w:val="59FB2037"/>
    <w:rsid w:val="5A6E0A5B"/>
    <w:rsid w:val="5AC468CD"/>
    <w:rsid w:val="5C7E485A"/>
    <w:rsid w:val="5DFB1F44"/>
    <w:rsid w:val="5EE17A4E"/>
    <w:rsid w:val="5F922AF6"/>
    <w:rsid w:val="6110461A"/>
    <w:rsid w:val="63D27965"/>
    <w:rsid w:val="653363CB"/>
    <w:rsid w:val="65C21C5B"/>
    <w:rsid w:val="66692FF6"/>
    <w:rsid w:val="666D606B"/>
    <w:rsid w:val="668A2779"/>
    <w:rsid w:val="67753429"/>
    <w:rsid w:val="68F91E38"/>
    <w:rsid w:val="69A52402"/>
    <w:rsid w:val="6B60619E"/>
    <w:rsid w:val="6C944351"/>
    <w:rsid w:val="6E5C0E9F"/>
    <w:rsid w:val="6EEC30AB"/>
    <w:rsid w:val="6F377216"/>
    <w:rsid w:val="703632A6"/>
    <w:rsid w:val="730E64E0"/>
    <w:rsid w:val="731C5C9C"/>
    <w:rsid w:val="73A86934"/>
    <w:rsid w:val="74202A7D"/>
    <w:rsid w:val="745F1C6E"/>
    <w:rsid w:val="7499002B"/>
    <w:rsid w:val="74BC608C"/>
    <w:rsid w:val="75E35A02"/>
    <w:rsid w:val="787212BF"/>
    <w:rsid w:val="78C733B9"/>
    <w:rsid w:val="798219D5"/>
    <w:rsid w:val="7A205476"/>
    <w:rsid w:val="7A715CD2"/>
    <w:rsid w:val="7A777060"/>
    <w:rsid w:val="7BE349AD"/>
    <w:rsid w:val="7CF77FE5"/>
    <w:rsid w:val="7D5D078F"/>
    <w:rsid w:val="B3EFCEBA"/>
    <w:rsid w:val="EFFEA8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1"/>
    <w:pPr>
      <w:ind w:left="1060"/>
      <w:outlineLvl w:val="1"/>
    </w:pPr>
    <w:rPr>
      <w:rFonts w:ascii="仿宋_GB2312" w:hAnsi="仿宋_GB2312" w:eastAsia="仿宋_GB2312" w:cs="仿宋_GB2312"/>
      <w:b/>
      <w:bCs/>
      <w:sz w:val="32"/>
      <w:szCs w:val="32"/>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cs="Times New Roman"/>
      <w:sz w:val="32"/>
      <w:szCs w:val="32"/>
    </w:rPr>
  </w:style>
  <w:style w:type="paragraph" w:styleId="3">
    <w:name w:val="Body Text Indent"/>
    <w:basedOn w:val="1"/>
    <w:qFormat/>
    <w:uiPriority w:val="0"/>
    <w:pPr>
      <w:spacing w:after="120"/>
      <w:ind w:left="420" w:leftChars="200"/>
    </w:pPr>
  </w:style>
  <w:style w:type="paragraph" w:styleId="5">
    <w:name w:val="index 5"/>
    <w:basedOn w:val="1"/>
    <w:next w:val="1"/>
    <w:qFormat/>
    <w:uiPriority w:val="0"/>
    <w:pPr>
      <w:ind w:left="1680"/>
    </w:pPr>
  </w:style>
  <w:style w:type="paragraph" w:styleId="6">
    <w:name w:val="endnote text"/>
    <w:basedOn w:val="1"/>
    <w:qFormat/>
    <w:uiPriority w:val="99"/>
    <w:rPr>
      <w:rFonts w:eastAsia="宋体" w:cs="Calibri"/>
      <w:sz w:val="21"/>
      <w:szCs w:val="21"/>
    </w:r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3843</Words>
  <Characters>3893</Characters>
  <Lines>0</Lines>
  <Paragraphs>0</Paragraphs>
  <TotalTime>0</TotalTime>
  <ScaleCrop>false</ScaleCrop>
  <LinksUpToDate>false</LinksUpToDate>
  <CharactersWithSpaces>4036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2022-04-22T13:12:00Z</dcterms:created>
  <dc:creator>Administrator</dc:creator>
  <cp:lastModifiedBy>魏欢</cp:lastModifiedBy>
  <cp:lastPrinted>2022-05-16T08:39:00Z</cp:lastPrinted>
  <dcterms:modified xsi:type="dcterms:W3CDTF">2025-07-08T03:37:22Z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E0E8C35616C94549BB2E15BBBADD8A94_13</vt:lpwstr>
  </property>
  <property fmtid="{D5CDD505-2E9C-101B-9397-08002B2CF9AE}" pid="4" name="KSOTemplateDocerSaveRecord">
    <vt:lpwstr>eyJoZGlkIjoiNDViMGFlNTM0NjMzOTQxNWY4ZjRkMDUxNGViMTdlYWUiLCJ1c2VySWQiOiI1OTI0MTgwMTYifQ==</vt:lpwstr>
  </property>
</Properties>
</file>