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eastAsia="仿宋_GB2312"/>
          <w:color w:val="auto"/>
          <w:sz w:val="32"/>
          <w:szCs w:val="32"/>
        </w:rPr>
      </w:pPr>
    </w:p>
    <w:p>
      <w:pPr>
        <w:widowControl/>
        <w:snapToGrid w:val="0"/>
        <w:jc w:val="center"/>
        <w:rPr>
          <w:rFonts w:hint="eastAsia" w:ascii="方正小标宋简体" w:hAnsi="微软雅黑" w:eastAsia="方正小标宋简体" w:cs="宋体"/>
          <w:color w:val="000000"/>
          <w:w w:val="100"/>
          <w:kern w:val="0"/>
          <w:sz w:val="44"/>
          <w:szCs w:val="44"/>
        </w:rPr>
      </w:pPr>
      <w:r>
        <w:rPr>
          <w:rFonts w:eastAsia="方正小标宋简体"/>
          <w:color w:val="auto"/>
          <w:w w:val="100"/>
          <w:sz w:val="44"/>
          <w:szCs w:val="44"/>
        </w:rPr>
        <w:t>关于</w:t>
      </w:r>
      <w:r>
        <w:rPr>
          <w:rFonts w:hint="eastAsia" w:eastAsia="方正小标宋简体"/>
          <w:color w:val="auto"/>
          <w:w w:val="100"/>
          <w:sz w:val="44"/>
          <w:szCs w:val="44"/>
          <w:lang w:eastAsia="zh-CN"/>
        </w:rPr>
        <w:t>《关于</w:t>
      </w:r>
      <w:r>
        <w:rPr>
          <w:rFonts w:hint="eastAsia" w:ascii="方正小标宋简体" w:hAnsi="微软雅黑" w:eastAsia="方正小标宋简体" w:cs="宋体"/>
          <w:color w:val="000000"/>
          <w:w w:val="100"/>
          <w:kern w:val="0"/>
          <w:sz w:val="44"/>
          <w:szCs w:val="44"/>
        </w:rPr>
        <w:t>严禁耕地抛荒加强粮食生产</w:t>
      </w:r>
    </w:p>
    <w:p>
      <w:pPr>
        <w:widowControl/>
        <w:snapToGrid w:val="0"/>
        <w:jc w:val="center"/>
        <w:rPr>
          <w:rFonts w:hint="default" w:eastAsia="方正小标宋简体"/>
          <w:color w:val="auto"/>
          <w:sz w:val="44"/>
          <w:szCs w:val="44"/>
          <w:lang w:val="en-US"/>
        </w:rPr>
      </w:pPr>
      <w:r>
        <w:rPr>
          <w:rFonts w:hint="eastAsia" w:ascii="方正小标宋简体" w:hAnsi="微软雅黑" w:eastAsia="方正小标宋简体" w:cs="宋体"/>
          <w:color w:val="000000"/>
          <w:w w:val="100"/>
          <w:kern w:val="0"/>
          <w:sz w:val="44"/>
          <w:szCs w:val="44"/>
        </w:rPr>
        <w:t>的通告</w:t>
      </w:r>
      <w:r>
        <w:rPr>
          <w:rFonts w:hint="eastAsia" w:eastAsia="方正小标宋简体"/>
          <w:color w:val="auto"/>
          <w:w w:val="100"/>
          <w:sz w:val="44"/>
          <w:szCs w:val="44"/>
          <w:lang w:eastAsia="zh-CN"/>
        </w:rPr>
        <w:t>》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的解读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hd w:val="clear" w:color="auto" w:fill="FFFFFF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制定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背景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根据国家粮食安全战略（藏粮于地）的安排部署，结合湖南省“三调”数据成果，我县存在较大面积的耕地抛荒（大约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16000亩），按照粮食安全省长负责制要求，以及省农业农村厅多次下文、会议安排部署，明确耕地抛荒连片5亩以上启动追责程序，并要求2年内对抛荒耕地全面实行复耕复种。为严格落实粮食安全省长负责制，确保县域粮食安全，有效保障耕地面积，制定</w:t>
      </w:r>
      <w:r>
        <w:rPr>
          <w:rFonts w:hint="eastAsia" w:eastAsia="仿宋_GB2312"/>
          <w:color w:val="auto"/>
          <w:sz w:val="32"/>
          <w:szCs w:val="32"/>
        </w:rPr>
        <w:t>本通告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制定目的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为坚决遏制耕地抛荒，严守耕地保护红线，有效提高耕地利用效益，稳定粮食生产。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制定依据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《中华人民共和国土地管理法》第三十</w:t>
      </w:r>
      <w:r>
        <w:rPr>
          <w:rFonts w:hint="eastAsia" w:eastAsia="仿宋_GB2312"/>
          <w:color w:val="auto"/>
          <w:sz w:val="32"/>
          <w:szCs w:val="32"/>
          <w:lang w:eastAsia="zh-CN"/>
        </w:rPr>
        <w:t>八</w:t>
      </w:r>
      <w:r>
        <w:rPr>
          <w:rFonts w:hint="eastAsia" w:eastAsia="仿宋_GB2312"/>
          <w:color w:val="auto"/>
          <w:sz w:val="32"/>
          <w:szCs w:val="32"/>
        </w:rPr>
        <w:t>条；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《中华人民共和国农村土地承包法》第</w:t>
      </w:r>
      <w:r>
        <w:rPr>
          <w:rFonts w:hint="eastAsia" w:eastAsia="仿宋_GB2312"/>
          <w:color w:val="auto"/>
          <w:sz w:val="32"/>
          <w:szCs w:val="32"/>
          <w:lang w:eastAsia="zh-CN"/>
        </w:rPr>
        <w:t>四十二</w:t>
      </w:r>
      <w:r>
        <w:rPr>
          <w:rFonts w:hint="eastAsia" w:eastAsia="仿宋_GB2312"/>
          <w:color w:val="auto"/>
          <w:sz w:val="32"/>
          <w:szCs w:val="32"/>
        </w:rPr>
        <w:t>条；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sz w:val="32"/>
          <w:szCs w:val="32"/>
        </w:rPr>
        <w:t>《基本农田保护条例》第十</w:t>
      </w:r>
      <w:r>
        <w:rPr>
          <w:rFonts w:hint="eastAsia" w:eastAsia="仿宋_GB2312"/>
          <w:color w:val="auto"/>
          <w:sz w:val="32"/>
          <w:szCs w:val="32"/>
          <w:lang w:eastAsia="zh-CN"/>
        </w:rPr>
        <w:t>八</w:t>
      </w:r>
      <w:r>
        <w:rPr>
          <w:rFonts w:hint="eastAsia" w:eastAsia="仿宋_GB2312"/>
          <w:color w:val="auto"/>
          <w:sz w:val="32"/>
          <w:szCs w:val="32"/>
        </w:rPr>
        <w:t>条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shd w:val="clear" w:color="auto" w:fill="FFFFFF"/>
        <w:spacing w:line="5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、主要内容</w:t>
      </w:r>
    </w:p>
    <w:p>
      <w:pPr>
        <w:shd w:val="clear" w:color="auto" w:fill="FFFFFF"/>
        <w:spacing w:line="520" w:lineRule="exact"/>
        <w:ind w:firstLine="640" w:firstLineChars="200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一是严禁耕地抛荒，零星抛荒由村集体组织代种代管，抛荒一年以上恢复耕种，抛荒二年以上村集经济组织可以依法重新发包；二是通过依法流转耕地杜绝耕地抛荒，在不改变土地农业用途的基础上，单位或个人土地承包经营权可依法、平等、自愿、有偿进行流转；三是稳定粮食种植面积，永久基本农田优先种植三大主粮，其它耕地宜粮则粮、应种尽种，确保稳住现有粮食种植面积；四是严厉打击破坏耕地行为，对造成耕地破坏、影响农作物生长的单位和个人，将依法严肃处理，并责令其限期恢复原种植条件；五是严格执行种粮补贴政策，改变用途及长年抛荒的耕地，一律不予发放耕地地力保护补贴资金；六是落实粮食安全责任制。各乡镇、村（社区）未报送禁止耕地抛荒的责任主体，工作不力，责任落实不到位将严肃追责。</w:t>
      </w:r>
    </w:p>
    <w:p>
      <w:pPr>
        <w:shd w:val="clear" w:color="auto" w:fill="FFFFFF"/>
        <w:spacing w:line="520" w:lineRule="exact"/>
        <w:ind w:firstLine="640" w:firstLineChars="200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eastAsia="仿宋_GB2312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809"/>
        <w:tab w:val="right" w:pos="8844"/>
        <w:tab w:val="clear" w:pos="4153"/>
        <w:tab w:val="clear" w:pos="8306"/>
      </w:tabs>
      <w:ind w:right="360"/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A6FE4"/>
    <w:rsid w:val="07BA6FE4"/>
    <w:rsid w:val="095D534F"/>
    <w:rsid w:val="18711AD7"/>
    <w:rsid w:val="188B7214"/>
    <w:rsid w:val="30882BEE"/>
    <w:rsid w:val="52F71B67"/>
    <w:rsid w:val="5C4D169E"/>
    <w:rsid w:val="61A5115E"/>
    <w:rsid w:val="653649D9"/>
    <w:rsid w:val="753D73D2"/>
    <w:rsid w:val="76676F45"/>
    <w:rsid w:val="781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  <w:jc w:val="left"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2021-09-28T01:22:00Z</dcterms:created>
  <dc:creator>友丽</dc:creator>
  <cp:lastModifiedBy>友丽</cp:lastModifiedBy>
  <dcterms:modified xsi:type="dcterms:W3CDTF">2021-11-11T03:12:53Z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